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7FA0C" w14:textId="263A3A7F" w:rsidR="00C912BF" w:rsidRPr="00CE68EA" w:rsidRDefault="00C912BF" w:rsidP="004B0054">
      <w:pPr>
        <w:jc w:val="center"/>
        <w:rPr>
          <w:rFonts w:cstheme="minorHAnsi"/>
        </w:rPr>
      </w:pPr>
      <w:r w:rsidRPr="00CE68EA">
        <w:rPr>
          <w:rFonts w:cstheme="minorHAnsi"/>
          <w:noProof/>
          <w:lang w:eastAsia="lv-LV"/>
        </w:rPr>
        <w:drawing>
          <wp:inline distT="0" distB="0" distL="0" distR="0" wp14:anchorId="57E7E49A" wp14:editId="45761B72">
            <wp:extent cx="1628775" cy="54292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4990737A" w14:textId="358ADA40" w:rsidR="00C912BF" w:rsidRPr="00D25AB9" w:rsidRDefault="00C912BF" w:rsidP="00131E43">
      <w:pPr>
        <w:pStyle w:val="Title"/>
        <w:rPr>
          <w:rFonts w:ascii="Arial Narrow" w:hAnsi="Arial Narrow" w:cstheme="minorHAnsi"/>
        </w:rPr>
      </w:pPr>
      <w:r w:rsidRPr="00D25AB9">
        <w:rPr>
          <w:rFonts w:ascii="Arial Narrow" w:hAnsi="Arial Narrow" w:cstheme="minorHAnsi"/>
        </w:rPr>
        <w:t>V</w:t>
      </w:r>
      <w:r w:rsidR="008F01FF" w:rsidRPr="00D25AB9">
        <w:rPr>
          <w:rFonts w:ascii="Arial Narrow" w:hAnsi="Arial Narrow" w:cstheme="minorHAnsi"/>
        </w:rPr>
        <w:t xml:space="preserve">alsts </w:t>
      </w:r>
      <w:r w:rsidRPr="00D25AB9">
        <w:rPr>
          <w:rFonts w:ascii="Arial Narrow" w:hAnsi="Arial Narrow" w:cstheme="minorHAnsi"/>
        </w:rPr>
        <w:t>SIA “PIEJŪRAS</w:t>
      </w:r>
      <w:r w:rsidR="00F50B00" w:rsidRPr="00D25AB9">
        <w:rPr>
          <w:rFonts w:ascii="Arial Narrow" w:hAnsi="Arial Narrow" w:cstheme="minorHAnsi"/>
        </w:rPr>
        <w:t xml:space="preserve"> </w:t>
      </w:r>
      <w:r w:rsidRPr="00D25AB9">
        <w:rPr>
          <w:rFonts w:ascii="Arial Narrow" w:hAnsi="Arial Narrow" w:cstheme="minorHAnsi"/>
        </w:rPr>
        <w:t>SLIMNĪCA”</w:t>
      </w:r>
    </w:p>
    <w:p w14:paraId="45AAF659" w14:textId="39502BBF" w:rsidR="00C912BF" w:rsidRPr="00D25AB9" w:rsidRDefault="00C912BF" w:rsidP="00131E43">
      <w:pPr>
        <w:pStyle w:val="Title"/>
        <w:rPr>
          <w:rFonts w:ascii="Arial Narrow" w:hAnsi="Arial Narrow" w:cstheme="minorHAnsi"/>
        </w:rPr>
      </w:pPr>
      <w:r w:rsidRPr="00D25AB9">
        <w:rPr>
          <w:rFonts w:ascii="Arial Narrow" w:hAnsi="Arial Narrow" w:cstheme="minorHAnsi"/>
        </w:rPr>
        <w:t>STARPPERIODU</w:t>
      </w:r>
      <w:r w:rsidR="00F50B00" w:rsidRPr="00D25AB9">
        <w:rPr>
          <w:rFonts w:ascii="Arial Narrow" w:hAnsi="Arial Narrow" w:cstheme="minorHAnsi"/>
        </w:rPr>
        <w:t xml:space="preserve"> </w:t>
      </w:r>
      <w:r w:rsidRPr="00D25AB9">
        <w:rPr>
          <w:rFonts w:ascii="Arial Narrow" w:hAnsi="Arial Narrow" w:cstheme="minorHAnsi"/>
        </w:rPr>
        <w:t>VADĪBAS</w:t>
      </w:r>
      <w:r w:rsidR="00F50B00" w:rsidRPr="00D25AB9">
        <w:rPr>
          <w:rFonts w:ascii="Arial Narrow" w:hAnsi="Arial Narrow" w:cstheme="minorHAnsi"/>
        </w:rPr>
        <w:t xml:space="preserve"> </w:t>
      </w:r>
      <w:r w:rsidRPr="00D25AB9">
        <w:rPr>
          <w:rFonts w:ascii="Arial Narrow" w:hAnsi="Arial Narrow" w:cstheme="minorHAnsi"/>
        </w:rPr>
        <w:t>ZIŅOJUMS</w:t>
      </w:r>
    </w:p>
    <w:p w14:paraId="4AB984CE" w14:textId="7DE9AC1C" w:rsidR="00C912BF" w:rsidRPr="00D25AB9" w:rsidRDefault="00C912BF" w:rsidP="00131E43">
      <w:pPr>
        <w:pStyle w:val="Title"/>
        <w:rPr>
          <w:rFonts w:ascii="Arial Narrow" w:hAnsi="Arial Narrow" w:cstheme="minorHAnsi"/>
        </w:rPr>
      </w:pPr>
      <w:r w:rsidRPr="00D25AB9">
        <w:rPr>
          <w:rFonts w:ascii="Arial Narrow" w:hAnsi="Arial Narrow" w:cstheme="minorHAnsi"/>
        </w:rPr>
        <w:t>par 202</w:t>
      </w:r>
      <w:r w:rsidR="00273F7A" w:rsidRPr="00D25AB9">
        <w:rPr>
          <w:rFonts w:ascii="Arial Narrow" w:hAnsi="Arial Narrow" w:cstheme="minorHAnsi"/>
        </w:rPr>
        <w:t>5</w:t>
      </w:r>
      <w:r w:rsidRPr="00D25AB9">
        <w:rPr>
          <w:rFonts w:ascii="Arial Narrow" w:hAnsi="Arial Narrow" w:cstheme="minorHAnsi"/>
        </w:rPr>
        <w:t xml:space="preserve">. gada </w:t>
      </w:r>
      <w:r w:rsidR="0064530B" w:rsidRPr="00D25AB9">
        <w:rPr>
          <w:rFonts w:ascii="Arial Narrow" w:hAnsi="Arial Narrow" w:cstheme="minorHAnsi"/>
        </w:rPr>
        <w:t>6</w:t>
      </w:r>
      <w:r w:rsidRPr="00D25AB9">
        <w:rPr>
          <w:rFonts w:ascii="Arial Narrow" w:hAnsi="Arial Narrow" w:cstheme="minorHAnsi"/>
        </w:rPr>
        <w:t xml:space="preserve"> mēnešiem (01.01.202</w:t>
      </w:r>
      <w:r w:rsidR="00273F7A" w:rsidRPr="00D25AB9">
        <w:rPr>
          <w:rFonts w:ascii="Arial Narrow" w:hAnsi="Arial Narrow" w:cstheme="minorHAnsi"/>
        </w:rPr>
        <w:t>5</w:t>
      </w:r>
      <w:r w:rsidRPr="00D25AB9">
        <w:rPr>
          <w:rFonts w:ascii="Arial Narrow" w:hAnsi="Arial Narrow" w:cstheme="minorHAnsi"/>
        </w:rPr>
        <w:t>. – 3</w:t>
      </w:r>
      <w:r w:rsidR="0064530B" w:rsidRPr="00D25AB9">
        <w:rPr>
          <w:rFonts w:ascii="Arial Narrow" w:hAnsi="Arial Narrow" w:cstheme="minorHAnsi"/>
        </w:rPr>
        <w:t>0</w:t>
      </w:r>
      <w:r w:rsidRPr="00D25AB9">
        <w:rPr>
          <w:rFonts w:ascii="Arial Narrow" w:hAnsi="Arial Narrow" w:cstheme="minorHAnsi"/>
        </w:rPr>
        <w:t>.</w:t>
      </w:r>
      <w:r w:rsidR="00273F7A" w:rsidRPr="00D25AB9">
        <w:rPr>
          <w:rFonts w:ascii="Arial Narrow" w:hAnsi="Arial Narrow" w:cstheme="minorHAnsi"/>
        </w:rPr>
        <w:t>0</w:t>
      </w:r>
      <w:r w:rsidR="0064530B" w:rsidRPr="00D25AB9">
        <w:rPr>
          <w:rFonts w:ascii="Arial Narrow" w:hAnsi="Arial Narrow" w:cstheme="minorHAnsi"/>
        </w:rPr>
        <w:t>6</w:t>
      </w:r>
      <w:r w:rsidRPr="00D25AB9">
        <w:rPr>
          <w:rFonts w:ascii="Arial Narrow" w:hAnsi="Arial Narrow" w:cstheme="minorHAnsi"/>
        </w:rPr>
        <w:t>.202</w:t>
      </w:r>
      <w:r w:rsidR="00273F7A" w:rsidRPr="00D25AB9">
        <w:rPr>
          <w:rFonts w:ascii="Arial Narrow" w:hAnsi="Arial Narrow" w:cstheme="minorHAnsi"/>
        </w:rPr>
        <w:t>5</w:t>
      </w:r>
      <w:r w:rsidRPr="00D25AB9">
        <w:rPr>
          <w:rFonts w:ascii="Arial Narrow" w:hAnsi="Arial Narrow" w:cstheme="minorHAnsi"/>
        </w:rPr>
        <w:t>.)</w:t>
      </w:r>
    </w:p>
    <w:p w14:paraId="4A28AFD2" w14:textId="77777777" w:rsidR="00C912BF" w:rsidRPr="00D25AB9" w:rsidRDefault="00C912BF" w:rsidP="00131E43">
      <w:pPr>
        <w:rPr>
          <w:rFonts w:ascii="Arial Narrow" w:hAnsi="Arial Narrow" w:cstheme="minorHAnsi"/>
        </w:rPr>
      </w:pPr>
    </w:p>
    <w:p w14:paraId="15EDF517" w14:textId="61871F4C" w:rsidR="00C912BF" w:rsidRPr="00D25AB9" w:rsidRDefault="00C912BF" w:rsidP="00131E43">
      <w:pPr>
        <w:rPr>
          <w:rFonts w:ascii="Arial Narrow" w:hAnsi="Arial Narrow" w:cstheme="minorHAnsi"/>
          <w:color w:val="000000" w:themeColor="text1"/>
        </w:rPr>
      </w:pPr>
      <w:r w:rsidRPr="00D25AB9">
        <w:rPr>
          <w:rFonts w:ascii="Arial Narrow" w:hAnsi="Arial Narrow" w:cstheme="minorHAnsi"/>
          <w:color w:val="000000" w:themeColor="text1"/>
        </w:rPr>
        <w:t>V</w:t>
      </w:r>
      <w:r w:rsidR="008F01FF" w:rsidRPr="00D25AB9">
        <w:rPr>
          <w:rFonts w:ascii="Arial Narrow" w:hAnsi="Arial Narrow" w:cstheme="minorHAnsi"/>
          <w:color w:val="000000" w:themeColor="text1"/>
        </w:rPr>
        <w:t xml:space="preserve">alsts </w:t>
      </w:r>
      <w:r w:rsidRPr="00D25AB9">
        <w:rPr>
          <w:rFonts w:ascii="Arial Narrow" w:hAnsi="Arial Narrow" w:cstheme="minorHAnsi"/>
          <w:color w:val="000000" w:themeColor="text1"/>
        </w:rPr>
        <w:t>SIA “Piejūras slimnīca” (turpmāk – Slimnīca) ir Latvijas Republikas Veselības ministrijas pārraudzībā esoša valsts kapitālsabiedrība, k</w:t>
      </w:r>
      <w:r w:rsidR="0002079F" w:rsidRPr="00D25AB9">
        <w:rPr>
          <w:rFonts w:ascii="Arial Narrow" w:hAnsi="Arial Narrow" w:cstheme="minorHAnsi"/>
          <w:color w:val="000000" w:themeColor="text1"/>
        </w:rPr>
        <w:t>ura</w:t>
      </w:r>
      <w:r w:rsidRPr="00D25AB9">
        <w:rPr>
          <w:rFonts w:ascii="Arial Narrow" w:hAnsi="Arial Narrow" w:cstheme="minorHAnsi"/>
          <w:color w:val="000000" w:themeColor="text1"/>
        </w:rPr>
        <w:t xml:space="preserve"> sniedz ambulatoros un stacionāros psihiskās veselības aprūpes pakalpojumus, papildus izmantojot nemedikamentozās terapijas metodes un regulāri paplašinot rehabilitācijas komandu. </w:t>
      </w:r>
    </w:p>
    <w:p w14:paraId="64E0391D" w14:textId="313F4A3E" w:rsidR="00C912BF" w:rsidRPr="00D25AB9" w:rsidRDefault="00C912BF" w:rsidP="00131E43">
      <w:pPr>
        <w:rPr>
          <w:rFonts w:ascii="Arial Narrow" w:hAnsi="Arial Narrow" w:cstheme="minorHAnsi"/>
          <w:color w:val="000000" w:themeColor="text1"/>
        </w:rPr>
      </w:pPr>
      <w:r w:rsidRPr="00D25AB9">
        <w:rPr>
          <w:rFonts w:ascii="Arial Narrow" w:hAnsi="Arial Narrow" w:cstheme="minorHAnsi"/>
          <w:color w:val="000000" w:themeColor="text1"/>
        </w:rPr>
        <w:t xml:space="preserve">Pārskata periodā Slimnīcā turpina darboties stacionārs ar </w:t>
      </w:r>
      <w:r w:rsidR="00B22397" w:rsidRPr="00D25AB9">
        <w:rPr>
          <w:rFonts w:ascii="Arial Narrow" w:hAnsi="Arial Narrow" w:cstheme="minorHAnsi"/>
          <w:color w:val="000000" w:themeColor="text1"/>
        </w:rPr>
        <w:t>105</w:t>
      </w:r>
      <w:r w:rsidRPr="00D25AB9">
        <w:rPr>
          <w:rFonts w:ascii="Arial Narrow" w:hAnsi="Arial Narrow" w:cstheme="minorHAnsi"/>
          <w:color w:val="000000" w:themeColor="text1"/>
        </w:rPr>
        <w:t xml:space="preserve"> gultām, ambulatorā daļa un dienas stacionārs ar 60 vietām, tai skaitā 50 pieaugušajiem un 10 bērniem. </w:t>
      </w:r>
      <w:r w:rsidR="004C597F" w:rsidRPr="00D25AB9">
        <w:rPr>
          <w:rFonts w:ascii="Arial Narrow" w:hAnsi="Arial Narrow" w:cstheme="minorHAnsi"/>
          <w:color w:val="000000" w:themeColor="text1"/>
        </w:rPr>
        <w:t xml:space="preserve">Ar 2025.gada 1.janvāri slimnīcas sniedzamo pakalpojumu klāsts </w:t>
      </w:r>
      <w:r w:rsidR="0002079F" w:rsidRPr="00D25AB9">
        <w:rPr>
          <w:rFonts w:ascii="Arial Narrow" w:hAnsi="Arial Narrow" w:cstheme="minorHAnsi"/>
          <w:color w:val="000000" w:themeColor="text1"/>
        </w:rPr>
        <w:t>ir</w:t>
      </w:r>
      <w:r w:rsidR="004C597F" w:rsidRPr="00D25AB9">
        <w:rPr>
          <w:rFonts w:ascii="Arial Narrow" w:hAnsi="Arial Narrow" w:cstheme="minorHAnsi"/>
          <w:color w:val="000000" w:themeColor="text1"/>
        </w:rPr>
        <w:t xml:space="preserve"> paplašināts ar </w:t>
      </w:r>
      <w:r w:rsidR="00421D75" w:rsidRPr="00D25AB9">
        <w:rPr>
          <w:rFonts w:ascii="Arial Narrow" w:hAnsi="Arial Narrow" w:cstheme="minorHAnsi"/>
          <w:color w:val="000000" w:themeColor="text1"/>
        </w:rPr>
        <w:t xml:space="preserve">stacionāriem un ambulatoriem </w:t>
      </w:r>
      <w:r w:rsidR="00F24040" w:rsidRPr="00D25AB9">
        <w:rPr>
          <w:rFonts w:ascii="Arial Narrow" w:hAnsi="Arial Narrow" w:cstheme="minorHAnsi"/>
          <w:color w:val="000000" w:themeColor="text1"/>
        </w:rPr>
        <w:t xml:space="preserve">narkoloģijas profila </w:t>
      </w:r>
      <w:r w:rsidR="00421D75" w:rsidRPr="00D25AB9">
        <w:rPr>
          <w:rFonts w:ascii="Arial Narrow" w:hAnsi="Arial Narrow" w:cstheme="minorHAnsi"/>
          <w:color w:val="000000" w:themeColor="text1"/>
        </w:rPr>
        <w:t>pakalpojumiem.</w:t>
      </w:r>
      <w:r w:rsidR="004C597F" w:rsidRPr="00D25AB9">
        <w:rPr>
          <w:rFonts w:ascii="Arial Narrow" w:hAnsi="Arial Narrow" w:cstheme="minorHAnsi"/>
          <w:color w:val="000000" w:themeColor="text1"/>
        </w:rPr>
        <w:t xml:space="preserve"> </w:t>
      </w:r>
    </w:p>
    <w:p w14:paraId="008F2666" w14:textId="77777777" w:rsidR="002F5BC9" w:rsidRPr="00D25AB9" w:rsidRDefault="69630B24" w:rsidP="00131E43">
      <w:pPr>
        <w:rPr>
          <w:rFonts w:ascii="Arial Narrow" w:hAnsi="Arial Narrow" w:cstheme="minorHAnsi"/>
          <w:color w:val="000000" w:themeColor="text1"/>
        </w:rPr>
      </w:pPr>
      <w:r w:rsidRPr="00D25AB9">
        <w:rPr>
          <w:rFonts w:ascii="Arial Narrow" w:hAnsi="Arial Narrow" w:cstheme="minorHAnsi"/>
          <w:color w:val="000000" w:themeColor="text1"/>
        </w:rPr>
        <w:t xml:space="preserve">Stacionārā turpinās pacientu, t.sk. </w:t>
      </w:r>
      <w:proofErr w:type="spellStart"/>
      <w:r w:rsidRPr="00D25AB9">
        <w:rPr>
          <w:rFonts w:ascii="Arial Narrow" w:hAnsi="Arial Narrow" w:cstheme="minorHAnsi"/>
          <w:color w:val="000000" w:themeColor="text1"/>
        </w:rPr>
        <w:t>neirotisko</w:t>
      </w:r>
      <w:proofErr w:type="spellEnd"/>
      <w:r w:rsidRPr="00D25AB9">
        <w:rPr>
          <w:rFonts w:ascii="Arial Narrow" w:hAnsi="Arial Narrow" w:cstheme="minorHAnsi"/>
          <w:color w:val="000000" w:themeColor="text1"/>
        </w:rPr>
        <w:t xml:space="preserve"> pacientu ārstēšana un </w:t>
      </w:r>
      <w:r w:rsidR="00421D75" w:rsidRPr="00D25AB9">
        <w:rPr>
          <w:rFonts w:ascii="Arial Narrow" w:hAnsi="Arial Narrow" w:cstheme="minorHAnsi"/>
          <w:color w:val="000000" w:themeColor="text1"/>
        </w:rPr>
        <w:t xml:space="preserve">tiek sniegta </w:t>
      </w:r>
      <w:proofErr w:type="spellStart"/>
      <w:r w:rsidRPr="00D25AB9">
        <w:rPr>
          <w:rFonts w:ascii="Arial Narrow" w:hAnsi="Arial Narrow" w:cstheme="minorHAnsi"/>
          <w:color w:val="000000" w:themeColor="text1"/>
        </w:rPr>
        <w:t>multiprofesionāla</w:t>
      </w:r>
      <w:proofErr w:type="spellEnd"/>
      <w:r w:rsidRPr="00D25AB9">
        <w:rPr>
          <w:rFonts w:ascii="Arial Narrow" w:hAnsi="Arial Narrow" w:cstheme="minorHAnsi"/>
          <w:color w:val="000000" w:themeColor="text1"/>
        </w:rPr>
        <w:t xml:space="preserve"> rehabilitācija. Pacientu aprūpi nodrošina </w:t>
      </w:r>
      <w:proofErr w:type="spellStart"/>
      <w:r w:rsidRPr="00D25AB9">
        <w:rPr>
          <w:rFonts w:ascii="Arial Narrow" w:hAnsi="Arial Narrow" w:cstheme="minorHAnsi"/>
          <w:color w:val="000000" w:themeColor="text1"/>
        </w:rPr>
        <w:t>multiprofesionālā</w:t>
      </w:r>
      <w:proofErr w:type="spellEnd"/>
      <w:r w:rsidRPr="00D25AB9">
        <w:rPr>
          <w:rFonts w:ascii="Arial Narrow" w:hAnsi="Arial Narrow" w:cstheme="minorHAnsi"/>
          <w:color w:val="000000" w:themeColor="text1"/>
        </w:rPr>
        <w:t xml:space="preserve"> speciālistu komanda. </w:t>
      </w:r>
    </w:p>
    <w:p w14:paraId="0C209DA7" w14:textId="5840EE01" w:rsidR="00532746" w:rsidRPr="00D25AB9" w:rsidRDefault="002F5BC9" w:rsidP="00131E43">
      <w:pPr>
        <w:rPr>
          <w:rFonts w:ascii="Arial Narrow" w:hAnsi="Arial Narrow"/>
        </w:rPr>
      </w:pPr>
      <w:r w:rsidRPr="00D25AB9">
        <w:rPr>
          <w:rFonts w:ascii="Arial Narrow" w:hAnsi="Arial Narrow" w:cstheme="minorHAnsi"/>
          <w:color w:val="000000" w:themeColor="text1"/>
        </w:rPr>
        <w:t xml:space="preserve">Pārskata perioda dati liecina, ka pieprasījums pēc neatliekamās medicīniskās psihiatriskās stacionāras palīdzības </w:t>
      </w:r>
      <w:r w:rsidR="00684265" w:rsidRPr="00D25AB9">
        <w:rPr>
          <w:rFonts w:ascii="Arial Narrow" w:hAnsi="Arial Narrow"/>
        </w:rPr>
        <w:t>pakalpojumiem turpina pieaugt, kas norāda uz pieaugošu psihisko saslimšanu izplatību sabiedrībā, kā arī uz ierobežotu ambulatoro pakalpojumu pieejamību un to kapacitāti</w:t>
      </w:r>
      <w:r w:rsidR="00532746" w:rsidRPr="00D25AB9">
        <w:rPr>
          <w:rFonts w:ascii="Arial Narrow" w:hAnsi="Arial Narrow"/>
        </w:rPr>
        <w:t xml:space="preserve">. </w:t>
      </w:r>
      <w:r w:rsidR="00532746" w:rsidRPr="00D25AB9">
        <w:rPr>
          <w:rFonts w:ascii="Arial Narrow" w:hAnsi="Arial Narrow" w:cstheme="minorHAnsi"/>
          <w:color w:val="000000" w:themeColor="text1"/>
        </w:rPr>
        <w:t xml:space="preserve">Pieprasījums pēc </w:t>
      </w:r>
      <w:proofErr w:type="spellStart"/>
      <w:r w:rsidR="00532746" w:rsidRPr="00D25AB9">
        <w:rPr>
          <w:rFonts w:ascii="Arial Narrow" w:hAnsi="Arial Narrow" w:cstheme="minorHAnsi"/>
          <w:color w:val="000000" w:themeColor="text1"/>
        </w:rPr>
        <w:t>neirotisko</w:t>
      </w:r>
      <w:proofErr w:type="spellEnd"/>
      <w:r w:rsidR="00532746" w:rsidRPr="00D25AB9">
        <w:rPr>
          <w:rFonts w:ascii="Arial Narrow" w:hAnsi="Arial Narrow" w:cstheme="minorHAnsi"/>
          <w:color w:val="000000" w:themeColor="text1"/>
        </w:rPr>
        <w:t xml:space="preserve"> pacientu psihiatriskās aprūpes pieaug, īpaši ņemot vērā karadarbību Ukrainā un kopējo globālo nestabilitāti un tās radītās sekas sabiedrības psihiskajā veselībā.  </w:t>
      </w:r>
    </w:p>
    <w:p w14:paraId="14399010" w14:textId="1991B6A3" w:rsidR="002F5BC9" w:rsidRPr="00D25AB9" w:rsidRDefault="00532746" w:rsidP="00131E43">
      <w:pPr>
        <w:rPr>
          <w:rFonts w:ascii="Arial Narrow" w:hAnsi="Arial Narrow"/>
        </w:rPr>
      </w:pPr>
      <w:r w:rsidRPr="00D25AB9">
        <w:rPr>
          <w:rFonts w:ascii="Arial Narrow" w:hAnsi="Arial Narrow"/>
        </w:rPr>
        <w:t>Pieaugošais pieprasījums pēc stacionārajiem psihiatrijas pakalpojumiem apliecina nepieciešamību pārskatīt esošo pakalpojumu kapacitāti, turpināt darbu pie  pacientu uzņemšanas nodaļas reorganizācij</w:t>
      </w:r>
      <w:r w:rsidR="00B92601" w:rsidRPr="00D25AB9">
        <w:rPr>
          <w:rFonts w:ascii="Arial Narrow" w:hAnsi="Arial Narrow"/>
        </w:rPr>
        <w:t>as tai skaitā nodrošinot observācijas iespējas lielākam pacientu skaitam</w:t>
      </w:r>
      <w:r w:rsidRPr="00D25AB9">
        <w:rPr>
          <w:rFonts w:ascii="Arial Narrow" w:hAnsi="Arial Narrow"/>
        </w:rPr>
        <w:t xml:space="preserve">, </w:t>
      </w:r>
      <w:r w:rsidR="00B92601" w:rsidRPr="00D25AB9">
        <w:rPr>
          <w:rFonts w:ascii="Arial Narrow" w:hAnsi="Arial Narrow"/>
        </w:rPr>
        <w:t>rehabilitācijas</w:t>
      </w:r>
      <w:r w:rsidRPr="00D25AB9">
        <w:rPr>
          <w:rFonts w:ascii="Arial Narrow" w:hAnsi="Arial Narrow"/>
        </w:rPr>
        <w:t xml:space="preserve"> pakalpojumu </w:t>
      </w:r>
      <w:r w:rsidR="00B92601" w:rsidRPr="00D25AB9">
        <w:rPr>
          <w:rFonts w:ascii="Arial Narrow" w:hAnsi="Arial Narrow"/>
        </w:rPr>
        <w:t xml:space="preserve">attīstību </w:t>
      </w:r>
      <w:r w:rsidRPr="00D25AB9">
        <w:rPr>
          <w:rFonts w:ascii="Arial Narrow" w:hAnsi="Arial Narrow"/>
        </w:rPr>
        <w:t>un papildus stiprināt ambulatorās aprūpes sistēmu.</w:t>
      </w:r>
    </w:p>
    <w:p w14:paraId="06183B66" w14:textId="6AAB63A9" w:rsidR="00CA5599" w:rsidRPr="00D25AB9" w:rsidRDefault="00CA5599" w:rsidP="00131E43">
      <w:pPr>
        <w:rPr>
          <w:rFonts w:ascii="Arial Narrow" w:hAnsi="Arial Narrow"/>
        </w:rPr>
      </w:pPr>
      <w:r w:rsidRPr="00D25AB9">
        <w:rPr>
          <w:rStyle w:val="word"/>
          <w:rFonts w:ascii="Arial Narrow" w:hAnsi="Arial Narrow"/>
        </w:rPr>
        <w:t>Slimnīca ir turpinājusi darbu, lai nodrošinātu pilnvērtīgus bērnu psihiskās veselības aprūpes un rehabilitācijas pakalpojumus, tai skaitā nodrošinot diagnostiku izmantojot ADOS testa metodiku.</w:t>
      </w:r>
    </w:p>
    <w:p w14:paraId="3837DB55" w14:textId="1C969464" w:rsidR="00B92601" w:rsidRPr="00D25AB9" w:rsidRDefault="00B92601" w:rsidP="00131E43">
      <w:pPr>
        <w:rPr>
          <w:rFonts w:ascii="Arial Narrow" w:hAnsi="Arial Narrow"/>
        </w:rPr>
      </w:pPr>
      <w:r w:rsidRPr="00D25AB9">
        <w:rPr>
          <w:rFonts w:ascii="Arial Narrow" w:hAnsi="Arial Narrow"/>
        </w:rPr>
        <w:t xml:space="preserve">Pārskata perioda dati liecina par nepieciešamību pārskatīt </w:t>
      </w:r>
      <w:r w:rsidR="00477FB7" w:rsidRPr="00D25AB9">
        <w:rPr>
          <w:rFonts w:ascii="Arial Narrow" w:hAnsi="Arial Narrow"/>
        </w:rPr>
        <w:t xml:space="preserve">Slimnīcas </w:t>
      </w:r>
      <w:r w:rsidRPr="00D25AB9">
        <w:rPr>
          <w:rFonts w:ascii="Arial Narrow" w:hAnsi="Arial Narrow"/>
        </w:rPr>
        <w:t>resu</w:t>
      </w:r>
      <w:r w:rsidR="00AA2738" w:rsidRPr="00D25AB9">
        <w:rPr>
          <w:rFonts w:ascii="Arial Narrow" w:hAnsi="Arial Narrow"/>
        </w:rPr>
        <w:t>rs</w:t>
      </w:r>
      <w:r w:rsidRPr="00D25AB9">
        <w:rPr>
          <w:rFonts w:ascii="Arial Narrow" w:hAnsi="Arial Narrow"/>
        </w:rPr>
        <w:t>u</w:t>
      </w:r>
      <w:r w:rsidR="00477FB7" w:rsidRPr="00D25AB9">
        <w:rPr>
          <w:rFonts w:ascii="Arial Narrow" w:hAnsi="Arial Narrow"/>
        </w:rPr>
        <w:t>s</w:t>
      </w:r>
      <w:r w:rsidRPr="00D25AB9">
        <w:rPr>
          <w:rFonts w:ascii="Arial Narrow" w:hAnsi="Arial Narrow"/>
        </w:rPr>
        <w:t xml:space="preserve"> </w:t>
      </w:r>
      <w:r w:rsidR="00AA2738" w:rsidRPr="00D25AB9">
        <w:rPr>
          <w:rFonts w:ascii="Arial Narrow" w:hAnsi="Arial Narrow"/>
        </w:rPr>
        <w:t>un risināt jautājumus par veselības aprūpes pakalpojumu nodrošināšanai nepieciešamo ieņēmumu un izdevumu attiecības</w:t>
      </w:r>
      <w:r w:rsidR="00477FB7" w:rsidRPr="00D25AB9">
        <w:rPr>
          <w:rFonts w:ascii="Arial Narrow" w:hAnsi="Arial Narrow"/>
        </w:rPr>
        <w:t xml:space="preserve"> sabalansēšanu. </w:t>
      </w:r>
      <w:r w:rsidR="00AA2738" w:rsidRPr="00D25AB9">
        <w:rPr>
          <w:rFonts w:ascii="Arial Narrow" w:hAnsi="Arial Narrow"/>
        </w:rPr>
        <w:t xml:space="preserve"> </w:t>
      </w:r>
    </w:p>
    <w:p w14:paraId="4C65F423" w14:textId="77777777" w:rsidR="00CA5599" w:rsidRPr="00D25AB9" w:rsidRDefault="00477FB7" w:rsidP="00131E43">
      <w:pPr>
        <w:rPr>
          <w:rFonts w:ascii="Arial Narrow" w:hAnsi="Arial Narrow"/>
        </w:rPr>
      </w:pPr>
      <w:r w:rsidRPr="00D25AB9">
        <w:rPr>
          <w:rFonts w:ascii="Arial Narrow" w:hAnsi="Arial Narrow"/>
        </w:rPr>
        <w:t>Veselības ministrijas uzdevumā Slimnīca 2025.gada janvārī ir uzsākusi sniegt narkoloģijas profila pakalpojumus, kuri reģionā ir ļoti nepieciešami</w:t>
      </w:r>
      <w:r w:rsidR="00346230" w:rsidRPr="00D25AB9">
        <w:rPr>
          <w:rFonts w:ascii="Arial Narrow" w:hAnsi="Arial Narrow"/>
        </w:rPr>
        <w:t>, kā arī ir nepieciešams veicināt atkarību rehabilitāciju programmu attīstību reģionā. Narkoloģijas profila pakalpojum</w:t>
      </w:r>
      <w:r w:rsidR="00C17BA7" w:rsidRPr="00D25AB9">
        <w:rPr>
          <w:rFonts w:ascii="Arial Narrow" w:hAnsi="Arial Narrow"/>
        </w:rPr>
        <w:t xml:space="preserve">i ir </w:t>
      </w:r>
      <w:r w:rsidRPr="00D25AB9">
        <w:rPr>
          <w:rFonts w:ascii="Arial Narrow" w:hAnsi="Arial Narrow"/>
        </w:rPr>
        <w:t xml:space="preserve"> pilnveidojami un kombinējami ar psihiatrisko veselības aprūpes pakalpojumiem</w:t>
      </w:r>
      <w:r w:rsidR="00C17BA7" w:rsidRPr="00D25AB9">
        <w:rPr>
          <w:rFonts w:ascii="Arial Narrow" w:hAnsi="Arial Narrow"/>
        </w:rPr>
        <w:t xml:space="preserve">, kas sniedz iespēju Slimnīcai attīstīties un paplašināt pakalpojumu klāstu. </w:t>
      </w:r>
    </w:p>
    <w:p w14:paraId="4386386F" w14:textId="4552A400" w:rsidR="00C912BF" w:rsidRPr="00D25AB9" w:rsidRDefault="00C17BA7" w:rsidP="00131E43">
      <w:pPr>
        <w:rPr>
          <w:rFonts w:ascii="Arial Narrow" w:hAnsi="Arial Narrow"/>
        </w:rPr>
      </w:pPr>
      <w:r w:rsidRPr="00D25AB9">
        <w:rPr>
          <w:rFonts w:ascii="Arial Narrow" w:hAnsi="Arial Narrow"/>
        </w:rPr>
        <w:t>Uzsākot sniegt jaunu</w:t>
      </w:r>
      <w:r w:rsidR="00CA5599" w:rsidRPr="00D25AB9">
        <w:rPr>
          <w:rFonts w:ascii="Arial Narrow" w:hAnsi="Arial Narrow"/>
        </w:rPr>
        <w:t>s</w:t>
      </w:r>
      <w:r w:rsidRPr="00D25AB9">
        <w:rPr>
          <w:rFonts w:ascii="Arial Narrow" w:hAnsi="Arial Narrow"/>
        </w:rPr>
        <w:t xml:space="preserve"> pakalpojumu</w:t>
      </w:r>
      <w:r w:rsidR="00CA5599" w:rsidRPr="00D25AB9">
        <w:rPr>
          <w:rFonts w:ascii="Arial Narrow" w:hAnsi="Arial Narrow"/>
        </w:rPr>
        <w:t>s narkoloģijas profilā</w:t>
      </w:r>
      <w:r w:rsidRPr="00D25AB9">
        <w:rPr>
          <w:rFonts w:ascii="Arial Narrow" w:hAnsi="Arial Narrow"/>
        </w:rPr>
        <w:t xml:space="preserve">, Slimnīcai nebija pietiekošu un precīzu datu par faktiski nepieciešamajiem resursiem pakalpojumu nodrošināšanai, kas </w:t>
      </w:r>
      <w:r w:rsidR="00CA5599" w:rsidRPr="00D25AB9">
        <w:rPr>
          <w:rFonts w:ascii="Arial Narrow" w:hAnsi="Arial Narrow"/>
        </w:rPr>
        <w:t xml:space="preserve">atspoguļojās </w:t>
      </w:r>
      <w:r w:rsidRPr="00D25AB9">
        <w:rPr>
          <w:rFonts w:ascii="Arial Narrow" w:hAnsi="Arial Narrow"/>
        </w:rPr>
        <w:t xml:space="preserve">pārskata ekonomiskos </w:t>
      </w:r>
      <w:r w:rsidRPr="00D25AB9">
        <w:rPr>
          <w:rFonts w:ascii="Arial Narrow" w:hAnsi="Arial Narrow"/>
        </w:rPr>
        <w:lastRenderedPageBreak/>
        <w:t>datos. Vienlaicīgi Slimnīca jau pirms pakalpojuma sniegšanas uzsākšanas bija identificējusi plānoto ieņēmumu nesamērīgumu</w:t>
      </w:r>
      <w:r w:rsidR="00CA5599" w:rsidRPr="00D25AB9">
        <w:rPr>
          <w:rFonts w:ascii="Arial Narrow" w:hAnsi="Arial Narrow"/>
        </w:rPr>
        <w:t xml:space="preserve"> (nepietiekamību)</w:t>
      </w:r>
      <w:r w:rsidRPr="00D25AB9">
        <w:rPr>
          <w:rFonts w:ascii="Arial Narrow" w:hAnsi="Arial Narrow"/>
        </w:rPr>
        <w:t xml:space="preserve"> ar nepieciešamajiem faktiskajiem izdevumiem</w:t>
      </w:r>
      <w:r w:rsidR="00CA5599" w:rsidRPr="00D25AB9">
        <w:rPr>
          <w:rFonts w:ascii="Arial Narrow" w:hAnsi="Arial Narrow"/>
        </w:rPr>
        <w:t xml:space="preserve">. Slimnīcas </w:t>
      </w:r>
      <w:r w:rsidRPr="00D25AB9">
        <w:rPr>
          <w:rFonts w:ascii="Arial Narrow" w:hAnsi="Arial Narrow"/>
        </w:rPr>
        <w:t xml:space="preserve">2025.gada </w:t>
      </w:r>
      <w:r w:rsidR="00CA5599" w:rsidRPr="00D25AB9">
        <w:rPr>
          <w:rFonts w:ascii="Arial Narrow" w:hAnsi="Arial Narrow"/>
        </w:rPr>
        <w:t xml:space="preserve">pirmā pusgada dati liecina, ka narkoloģijas nodaļas faktiskie izdevumi būtiski pārsniedz faktiskos ieņēmumus, kas rada Slimnīcai zaudējumus. </w:t>
      </w:r>
    </w:p>
    <w:p w14:paraId="0E6A6839" w14:textId="614C26B4" w:rsidR="005F20FB" w:rsidRPr="00D25AB9" w:rsidRDefault="005F20FB" w:rsidP="00131E43">
      <w:pPr>
        <w:rPr>
          <w:rFonts w:ascii="Arial Narrow" w:hAnsi="Arial Narrow"/>
        </w:rPr>
      </w:pPr>
      <w:r w:rsidRPr="00D25AB9">
        <w:rPr>
          <w:rFonts w:ascii="Arial Narrow" w:hAnsi="Arial Narrow"/>
        </w:rPr>
        <w:t xml:space="preserve">Pārskata periodā ir veikta pacientu Uzņemšanas nodaļas darba pārskatīšana un reorganizācijas plānošana, tai skaitā pieņemts lēmums </w:t>
      </w:r>
      <w:r w:rsidR="000E0AC6" w:rsidRPr="00D25AB9">
        <w:rPr>
          <w:rFonts w:ascii="Arial Narrow" w:hAnsi="Arial Narrow"/>
        </w:rPr>
        <w:t xml:space="preserve">pārstrukturizēt </w:t>
      </w:r>
      <w:r w:rsidRPr="00D25AB9">
        <w:rPr>
          <w:rFonts w:ascii="Arial Narrow" w:hAnsi="Arial Narrow"/>
        </w:rPr>
        <w:t>personāla resursu</w:t>
      </w:r>
      <w:r w:rsidR="000E0AC6" w:rsidRPr="00D25AB9">
        <w:rPr>
          <w:rFonts w:ascii="Arial Narrow" w:hAnsi="Arial Narrow"/>
        </w:rPr>
        <w:t xml:space="preserve">s. Pārvietojot Uzņemšanas nodaļu uz atsevišķu ēku un reorganizācijas rezultātā nodrošinot pakalpojumu pieejamību lielākam pacientu skaitam, tai skaitā palielinot observācijas pakalpojumu pieejamību </w:t>
      </w:r>
      <w:r w:rsidRPr="00D25AB9">
        <w:rPr>
          <w:rFonts w:ascii="Arial Narrow" w:hAnsi="Arial Narrow"/>
        </w:rPr>
        <w:t xml:space="preserve"> </w:t>
      </w:r>
      <w:r w:rsidR="000E0AC6" w:rsidRPr="00D25AB9">
        <w:rPr>
          <w:rFonts w:ascii="Arial Narrow" w:hAnsi="Arial Narrow"/>
        </w:rPr>
        <w:t xml:space="preserve">Slimnīcai būs nepieciešams palielināt personāla skaitu, kas radīs ietekmi uz personāla izmaksām. </w:t>
      </w:r>
    </w:p>
    <w:p w14:paraId="4175AFFE" w14:textId="77777777" w:rsidR="000E0AC6" w:rsidRPr="00D25AB9" w:rsidRDefault="000E0AC6" w:rsidP="00131E43">
      <w:pPr>
        <w:rPr>
          <w:rFonts w:ascii="Arial Narrow" w:hAnsi="Arial Narrow"/>
        </w:rPr>
      </w:pPr>
    </w:p>
    <w:p w14:paraId="0FB78B52" w14:textId="5BE05ACF" w:rsidR="00C912BF" w:rsidRPr="00D25AB9" w:rsidRDefault="00C912BF" w:rsidP="003D2257">
      <w:pPr>
        <w:pStyle w:val="Heading1"/>
        <w:rPr>
          <w:rFonts w:ascii="Arial Narrow" w:hAnsi="Arial Narrow" w:cstheme="minorHAnsi"/>
        </w:rPr>
      </w:pPr>
      <w:r w:rsidRPr="00D25AB9">
        <w:rPr>
          <w:rFonts w:ascii="Arial Narrow" w:hAnsi="Arial Narrow" w:cstheme="minorHAnsi"/>
        </w:rPr>
        <w:t>Attīstības projekti</w:t>
      </w:r>
    </w:p>
    <w:p w14:paraId="3960FBA1" w14:textId="77777777" w:rsidR="00C912BF" w:rsidRPr="00D25AB9" w:rsidRDefault="00C912BF" w:rsidP="00131E43">
      <w:pPr>
        <w:pStyle w:val="Heading2"/>
        <w:rPr>
          <w:rFonts w:ascii="Arial Narrow" w:hAnsi="Arial Narrow" w:cstheme="minorHAnsi"/>
        </w:rPr>
      </w:pPr>
      <w:r w:rsidRPr="00D25AB9">
        <w:rPr>
          <w:rFonts w:ascii="Arial Narrow" w:hAnsi="Arial Narrow" w:cstheme="minorHAnsi"/>
        </w:rPr>
        <w:t>Uzņemšanas nodaļas rekonstrukcija</w:t>
      </w:r>
    </w:p>
    <w:p w14:paraId="62532281" w14:textId="77777777" w:rsidR="00273F7A" w:rsidRPr="00D25AB9" w:rsidRDefault="00273F7A" w:rsidP="00273F7A">
      <w:pPr>
        <w:rPr>
          <w:rFonts w:ascii="Arial Narrow" w:hAnsi="Arial Narrow" w:cstheme="minorHAnsi"/>
        </w:rPr>
      </w:pPr>
      <w:r w:rsidRPr="00D25AB9">
        <w:rPr>
          <w:rFonts w:ascii="Arial Narrow" w:hAnsi="Arial Narrow" w:cstheme="minorHAnsi"/>
        </w:rPr>
        <w:t xml:space="preserve">Izvērtējot Slimnīcas esošo infrastruktūru un iespēju attīstīt pakalpojumus, tai skaitā uzsākt sniegt Narkoloģijas profila pakalpojumus, tika identificēta nepieciešamība rekonstruēt pacientu Uzņemšanas nodaļu. Rekonstrukcija bija nepieciešama ne tikai pacientu apkalpošanas kvalitātes uzlabošanai, bet arī, lai izpildītu minimālās prasības, kuras ir noteiktas Ārstniecības likumā un Ministru kabineta noteikumos, saistībā ar alkoholisma, narkomānijas un toksikomānijas slimnieku ārstēšanu (izolatora izveide, atbilstošu observācijas telpu nodrošināšana u.c.). </w:t>
      </w:r>
    </w:p>
    <w:p w14:paraId="2A5F8E53" w14:textId="6218F2C5" w:rsidR="00273F7A" w:rsidRPr="00D25AB9" w:rsidRDefault="002513D2" w:rsidP="00273F7A">
      <w:pPr>
        <w:rPr>
          <w:rFonts w:ascii="Arial Narrow" w:hAnsi="Arial Narrow" w:cstheme="minorHAnsi"/>
        </w:rPr>
      </w:pPr>
      <w:r w:rsidRPr="00D25AB9">
        <w:rPr>
          <w:rFonts w:ascii="Arial Narrow" w:hAnsi="Arial Narrow" w:cstheme="minorHAnsi"/>
        </w:rPr>
        <w:t>2024.gad</w:t>
      </w:r>
      <w:r w:rsidR="006D2D85" w:rsidRPr="00D25AB9">
        <w:rPr>
          <w:rFonts w:ascii="Arial Narrow" w:hAnsi="Arial Narrow" w:cstheme="minorHAnsi"/>
        </w:rPr>
        <w:t xml:space="preserve">ā </w:t>
      </w:r>
      <w:r w:rsidRPr="00D25AB9">
        <w:rPr>
          <w:rFonts w:ascii="Arial Narrow" w:hAnsi="Arial Narrow" w:cstheme="minorHAnsi"/>
        </w:rPr>
        <w:t xml:space="preserve">ir uzsākti ēkas vienkāršotās atjaunošanas darbi, lai būtu iespēja </w:t>
      </w:r>
      <w:r w:rsidR="00273F7A" w:rsidRPr="00D25AB9">
        <w:rPr>
          <w:rFonts w:ascii="Arial Narrow" w:hAnsi="Arial Narrow" w:cstheme="minorHAnsi"/>
        </w:rPr>
        <w:t>Uzņemšanas nodaļ</w:t>
      </w:r>
      <w:r w:rsidRPr="00D25AB9">
        <w:rPr>
          <w:rFonts w:ascii="Arial Narrow" w:hAnsi="Arial Narrow" w:cstheme="minorHAnsi"/>
        </w:rPr>
        <w:t>u</w:t>
      </w:r>
      <w:r w:rsidR="00273F7A" w:rsidRPr="00D25AB9">
        <w:rPr>
          <w:rFonts w:ascii="Arial Narrow" w:hAnsi="Arial Narrow" w:cstheme="minorHAnsi"/>
        </w:rPr>
        <w:t xml:space="preserve"> izvietot atsevišķā ēkā ar funkcionāli ērti un plaši lietojamām telpām. </w:t>
      </w:r>
    </w:p>
    <w:p w14:paraId="2EE3C95D" w14:textId="41848524" w:rsidR="00273F7A" w:rsidRPr="00D25AB9" w:rsidRDefault="00273F7A" w:rsidP="00273F7A">
      <w:pPr>
        <w:rPr>
          <w:rFonts w:ascii="Arial Narrow" w:hAnsi="Arial Narrow" w:cstheme="minorHAnsi"/>
        </w:rPr>
      </w:pPr>
      <w:r w:rsidRPr="00D25AB9">
        <w:rPr>
          <w:rFonts w:ascii="Arial Narrow" w:hAnsi="Arial Narrow" w:cstheme="minorHAnsi"/>
        </w:rPr>
        <w:t>Vienlaikus turpinājās darbs pie finansējuma piesaistes Uzņemšanas nodaļas būvniecības izdevumu segšanai. 2024.gada decembrī sadarbībā ar VSIA “Nacionālais psihiskās veselības centrs” ir iesniegts projekta pieteikums finansējuma piesaistei 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trešās kārtas ietvaros. Pārskata periodā ir saņemts Centrālās finanšu un līgumu aģentūras atzinums Nr. 39-2-10/1693, par projekta apstiprināšanu un nosacījumu izpildi</w:t>
      </w:r>
      <w:r w:rsidR="00E152E9" w:rsidRPr="00D25AB9">
        <w:rPr>
          <w:rFonts w:ascii="Arial Narrow" w:hAnsi="Arial Narrow" w:cstheme="minorHAnsi"/>
        </w:rPr>
        <w:t>, tai skaitā uzsākta projekta Nr. 4.1.1.1/3/24/I/001 īstenošana.</w:t>
      </w:r>
    </w:p>
    <w:p w14:paraId="73B0CC00" w14:textId="0152DDB5" w:rsidR="00273F7A" w:rsidRPr="00D25AB9" w:rsidRDefault="00273F7A" w:rsidP="00273F7A">
      <w:pPr>
        <w:rPr>
          <w:rFonts w:ascii="Arial Narrow" w:hAnsi="Arial Narrow" w:cstheme="minorHAnsi"/>
        </w:rPr>
      </w:pPr>
      <w:r w:rsidRPr="00D25AB9">
        <w:rPr>
          <w:rFonts w:ascii="Arial Narrow" w:hAnsi="Arial Narrow" w:cstheme="minorHAnsi"/>
        </w:rPr>
        <w:t xml:space="preserve">Uzņemšanas nodaļas telpu vienkāršotās atjaunošanas būvdarbi ir uzsākti 2024.gada oktobrī un plānotais darbu pabeigšanas termiņš ir 2025.gada </w:t>
      </w:r>
      <w:r w:rsidR="00E152E9" w:rsidRPr="00D25AB9">
        <w:rPr>
          <w:rFonts w:ascii="Arial Narrow" w:hAnsi="Arial Narrow" w:cstheme="minorHAnsi"/>
        </w:rPr>
        <w:t xml:space="preserve">jūlijs. Pārskata periodā </w:t>
      </w:r>
      <w:r w:rsidR="005F20FB" w:rsidRPr="00D25AB9">
        <w:rPr>
          <w:rFonts w:ascii="Arial Narrow" w:hAnsi="Arial Narrow" w:cstheme="minorHAnsi"/>
        </w:rPr>
        <w:t>būvdarbi ir pabeigti un turpinās darbs ēkas nodošanai ekspluatācijā</w:t>
      </w:r>
      <w:r w:rsidRPr="00D25AB9">
        <w:rPr>
          <w:rFonts w:ascii="Arial Narrow" w:hAnsi="Arial Narrow" w:cstheme="minorHAnsi"/>
        </w:rPr>
        <w:t xml:space="preserve">. </w:t>
      </w:r>
    </w:p>
    <w:p w14:paraId="608F0652" w14:textId="35A04771" w:rsidR="00273F7A" w:rsidRPr="00D25AB9" w:rsidRDefault="00273F7A" w:rsidP="00273F7A">
      <w:pPr>
        <w:rPr>
          <w:rFonts w:ascii="Arial Narrow" w:hAnsi="Arial Narrow" w:cstheme="minorHAnsi"/>
        </w:rPr>
      </w:pPr>
      <w:r w:rsidRPr="00D25AB9">
        <w:rPr>
          <w:rFonts w:ascii="Arial Narrow" w:hAnsi="Arial Narrow" w:cstheme="minorHAnsi"/>
        </w:rPr>
        <w:t>Lai uzlabotu pacientu telpu logu izmantošanas funkcionalitāti un ēkas energoefektivitāti, papildus telpu vienkāršotai atjaunošanai, ir pieņemts lēmums veikt ēkas logu nomaiņu. Pārskata periodā ir veikta publiska iepirkuma procedūra un līgu</w:t>
      </w:r>
      <w:r w:rsidR="005F20FB" w:rsidRPr="00D25AB9">
        <w:rPr>
          <w:rFonts w:ascii="Arial Narrow" w:hAnsi="Arial Narrow" w:cstheme="minorHAnsi"/>
        </w:rPr>
        <w:t>ma ietvaros veikta</w:t>
      </w:r>
      <w:r w:rsidRPr="00D25AB9">
        <w:rPr>
          <w:rFonts w:ascii="Arial Narrow" w:hAnsi="Arial Narrow" w:cstheme="minorHAnsi"/>
        </w:rPr>
        <w:t xml:space="preserve"> Uzņemšanas nodaļas ēkas logu nomaiņ</w:t>
      </w:r>
      <w:r w:rsidR="005F20FB" w:rsidRPr="00D25AB9">
        <w:rPr>
          <w:rFonts w:ascii="Arial Narrow" w:hAnsi="Arial Narrow" w:cstheme="minorHAnsi"/>
        </w:rPr>
        <w:t>a</w:t>
      </w:r>
      <w:r w:rsidRPr="00D25AB9">
        <w:rPr>
          <w:rFonts w:ascii="Arial Narrow" w:hAnsi="Arial Narrow" w:cstheme="minorHAnsi"/>
        </w:rPr>
        <w:t xml:space="preserve">. </w:t>
      </w:r>
    </w:p>
    <w:p w14:paraId="1E5C6CA7" w14:textId="1B66A6EC" w:rsidR="005F20FB" w:rsidRPr="00D25AB9" w:rsidRDefault="005F20FB" w:rsidP="00273F7A">
      <w:pPr>
        <w:rPr>
          <w:rFonts w:ascii="Arial Narrow" w:hAnsi="Arial Narrow" w:cstheme="minorHAnsi"/>
        </w:rPr>
      </w:pPr>
      <w:r w:rsidRPr="00D25AB9">
        <w:rPr>
          <w:rFonts w:ascii="Arial Narrow" w:hAnsi="Arial Narrow" w:cstheme="minorHAnsi"/>
        </w:rPr>
        <w:t>Papildus pārskata periodā ir uzsāktas darbības, lai aprīkotu uzņemšanas nodaļu, observācijas palātas ar nepieciešamajām mēbelēm un aprīkojumu.</w:t>
      </w:r>
    </w:p>
    <w:p w14:paraId="69F26E66" w14:textId="58ED17E3" w:rsidR="00273F7A" w:rsidRPr="00D25AB9" w:rsidRDefault="00273F7A" w:rsidP="00273F7A">
      <w:pPr>
        <w:rPr>
          <w:rFonts w:ascii="Arial Narrow" w:hAnsi="Arial Narrow" w:cstheme="minorHAnsi"/>
        </w:rPr>
      </w:pPr>
      <w:r w:rsidRPr="00D25AB9">
        <w:rPr>
          <w:rFonts w:ascii="Arial Narrow" w:hAnsi="Arial Narrow" w:cstheme="minorHAnsi"/>
        </w:rPr>
        <w:t xml:space="preserve">Uzņemšanas nodaļu plānots reorganizēt un pārcelt darbību uz rekonstruētām telpām 2025.gada </w:t>
      </w:r>
      <w:r w:rsidR="005F20FB" w:rsidRPr="00D25AB9">
        <w:rPr>
          <w:rFonts w:ascii="Arial Narrow" w:hAnsi="Arial Narrow" w:cstheme="minorHAnsi"/>
        </w:rPr>
        <w:t>septembrī</w:t>
      </w:r>
      <w:r w:rsidRPr="00D25AB9">
        <w:rPr>
          <w:rFonts w:ascii="Arial Narrow" w:hAnsi="Arial Narrow" w:cstheme="minorHAnsi"/>
        </w:rPr>
        <w:t>.</w:t>
      </w:r>
    </w:p>
    <w:p w14:paraId="2FD83CB3" w14:textId="77777777" w:rsidR="00C912BF" w:rsidRPr="00D25AB9" w:rsidRDefault="00C912BF" w:rsidP="00131E43">
      <w:pPr>
        <w:pStyle w:val="Heading2"/>
        <w:rPr>
          <w:rFonts w:ascii="Arial Narrow" w:hAnsi="Arial Narrow" w:cstheme="minorHAnsi"/>
        </w:rPr>
      </w:pPr>
      <w:r w:rsidRPr="00D25AB9">
        <w:rPr>
          <w:rFonts w:ascii="Arial Narrow" w:hAnsi="Arial Narrow" w:cstheme="minorHAnsi"/>
        </w:rPr>
        <w:lastRenderedPageBreak/>
        <w:t>INO INCLUSION</w:t>
      </w:r>
    </w:p>
    <w:p w14:paraId="5C761F34" w14:textId="4486BD4F" w:rsidR="00273F7A" w:rsidRPr="00D25AB9" w:rsidRDefault="00273F7A" w:rsidP="00273F7A">
      <w:pPr>
        <w:rPr>
          <w:rFonts w:ascii="Arial Narrow" w:hAnsi="Arial Narrow" w:cstheme="minorHAnsi"/>
        </w:rPr>
      </w:pPr>
      <w:r w:rsidRPr="00D25AB9">
        <w:rPr>
          <w:rFonts w:ascii="Arial Narrow" w:hAnsi="Arial Narrow" w:cstheme="minorHAnsi"/>
        </w:rPr>
        <w:t xml:space="preserve">2024.gada februārī ir uzsākts ieviest </w:t>
      </w:r>
      <w:proofErr w:type="spellStart"/>
      <w:r w:rsidRPr="00D25AB9">
        <w:rPr>
          <w:rFonts w:ascii="Arial Narrow" w:hAnsi="Arial Narrow" w:cstheme="minorHAnsi"/>
        </w:rPr>
        <w:t>Interreg</w:t>
      </w:r>
      <w:proofErr w:type="spellEnd"/>
      <w:r w:rsidRPr="00D25AB9">
        <w:rPr>
          <w:rFonts w:ascii="Arial Narrow" w:hAnsi="Arial Narrow" w:cstheme="minorHAnsi"/>
        </w:rPr>
        <w:t xml:space="preserve"> Latvijas – Lietuvas pārrobežu sadarbības programmas 2021. – 2027. gadam projekts “</w:t>
      </w:r>
      <w:proofErr w:type="spellStart"/>
      <w:r w:rsidRPr="00D25AB9">
        <w:rPr>
          <w:rFonts w:ascii="Arial Narrow" w:hAnsi="Arial Narrow" w:cstheme="minorHAnsi"/>
        </w:rPr>
        <w:t>Innovative</w:t>
      </w:r>
      <w:proofErr w:type="spellEnd"/>
      <w:r w:rsidRPr="00D25AB9">
        <w:rPr>
          <w:rFonts w:ascii="Arial Narrow" w:hAnsi="Arial Narrow" w:cstheme="minorHAnsi"/>
        </w:rPr>
        <w:t xml:space="preserve"> </w:t>
      </w:r>
      <w:proofErr w:type="spellStart"/>
      <w:r w:rsidRPr="00D25AB9">
        <w:rPr>
          <w:rFonts w:ascii="Arial Narrow" w:hAnsi="Arial Narrow" w:cstheme="minorHAnsi"/>
        </w:rPr>
        <w:t>psychosocial</w:t>
      </w:r>
      <w:proofErr w:type="spellEnd"/>
      <w:r w:rsidRPr="00D25AB9">
        <w:rPr>
          <w:rFonts w:ascii="Arial Narrow" w:hAnsi="Arial Narrow" w:cstheme="minorHAnsi"/>
        </w:rPr>
        <w:t xml:space="preserve"> </w:t>
      </w:r>
      <w:proofErr w:type="spellStart"/>
      <w:r w:rsidRPr="00D25AB9">
        <w:rPr>
          <w:rFonts w:ascii="Arial Narrow" w:hAnsi="Arial Narrow" w:cstheme="minorHAnsi"/>
        </w:rPr>
        <w:t>and</w:t>
      </w:r>
      <w:proofErr w:type="spellEnd"/>
      <w:r w:rsidRPr="00D25AB9">
        <w:rPr>
          <w:rFonts w:ascii="Arial Narrow" w:hAnsi="Arial Narrow" w:cstheme="minorHAnsi"/>
        </w:rPr>
        <w:t xml:space="preserve"> </w:t>
      </w:r>
      <w:proofErr w:type="spellStart"/>
      <w:r w:rsidRPr="00D25AB9">
        <w:rPr>
          <w:rFonts w:ascii="Arial Narrow" w:hAnsi="Arial Narrow" w:cstheme="minorHAnsi"/>
        </w:rPr>
        <w:t>physical</w:t>
      </w:r>
      <w:proofErr w:type="spellEnd"/>
      <w:r w:rsidRPr="00D25AB9">
        <w:rPr>
          <w:rFonts w:ascii="Arial Narrow" w:hAnsi="Arial Narrow" w:cstheme="minorHAnsi"/>
        </w:rPr>
        <w:t xml:space="preserve"> </w:t>
      </w:r>
      <w:proofErr w:type="spellStart"/>
      <w:r w:rsidRPr="00D25AB9">
        <w:rPr>
          <w:rFonts w:ascii="Arial Narrow" w:hAnsi="Arial Narrow" w:cstheme="minorHAnsi"/>
        </w:rPr>
        <w:t>rehabilitation</w:t>
      </w:r>
      <w:proofErr w:type="spellEnd"/>
      <w:r w:rsidRPr="00D25AB9">
        <w:rPr>
          <w:rFonts w:ascii="Arial Narrow" w:hAnsi="Arial Narrow" w:cstheme="minorHAnsi"/>
        </w:rPr>
        <w:t xml:space="preserve"> </w:t>
      </w:r>
      <w:proofErr w:type="spellStart"/>
      <w:r w:rsidRPr="00D25AB9">
        <w:rPr>
          <w:rFonts w:ascii="Arial Narrow" w:hAnsi="Arial Narrow" w:cstheme="minorHAnsi"/>
        </w:rPr>
        <w:t>methods</w:t>
      </w:r>
      <w:proofErr w:type="spellEnd"/>
      <w:r w:rsidRPr="00D25AB9">
        <w:rPr>
          <w:rFonts w:ascii="Arial Narrow" w:hAnsi="Arial Narrow" w:cstheme="minorHAnsi"/>
        </w:rPr>
        <w:t xml:space="preserve"> </w:t>
      </w:r>
      <w:proofErr w:type="spellStart"/>
      <w:r w:rsidRPr="00D25AB9">
        <w:rPr>
          <w:rFonts w:ascii="Arial Narrow" w:hAnsi="Arial Narrow" w:cstheme="minorHAnsi"/>
        </w:rPr>
        <w:t>for</w:t>
      </w:r>
      <w:proofErr w:type="spellEnd"/>
      <w:r w:rsidRPr="00D25AB9">
        <w:rPr>
          <w:rFonts w:ascii="Arial Narrow" w:hAnsi="Arial Narrow" w:cstheme="minorHAnsi"/>
        </w:rPr>
        <w:t xml:space="preserve"> </w:t>
      </w:r>
      <w:proofErr w:type="spellStart"/>
      <w:r w:rsidRPr="00D25AB9">
        <w:rPr>
          <w:rFonts w:ascii="Arial Narrow" w:hAnsi="Arial Narrow" w:cstheme="minorHAnsi"/>
        </w:rPr>
        <w:t>vulnerable</w:t>
      </w:r>
      <w:proofErr w:type="spellEnd"/>
      <w:r w:rsidRPr="00D25AB9">
        <w:rPr>
          <w:rFonts w:ascii="Arial Narrow" w:hAnsi="Arial Narrow" w:cstheme="minorHAnsi"/>
        </w:rPr>
        <w:t xml:space="preserve"> </w:t>
      </w:r>
      <w:proofErr w:type="spellStart"/>
      <w:r w:rsidRPr="00D25AB9">
        <w:rPr>
          <w:rFonts w:ascii="Arial Narrow" w:hAnsi="Arial Narrow" w:cstheme="minorHAnsi"/>
        </w:rPr>
        <w:t>people</w:t>
      </w:r>
      <w:proofErr w:type="spellEnd"/>
      <w:r w:rsidRPr="00D25AB9">
        <w:rPr>
          <w:rFonts w:ascii="Arial Narrow" w:hAnsi="Arial Narrow" w:cstheme="minorHAnsi"/>
        </w:rPr>
        <w:t xml:space="preserve"> stress </w:t>
      </w:r>
      <w:proofErr w:type="spellStart"/>
      <w:r w:rsidRPr="00D25AB9">
        <w:rPr>
          <w:rFonts w:ascii="Arial Narrow" w:hAnsi="Arial Narrow" w:cstheme="minorHAnsi"/>
        </w:rPr>
        <w:t>overcome</w:t>
      </w:r>
      <w:proofErr w:type="spellEnd"/>
      <w:r w:rsidRPr="00D25AB9">
        <w:rPr>
          <w:rFonts w:ascii="Arial Narrow" w:hAnsi="Arial Narrow" w:cstheme="minorHAnsi"/>
        </w:rPr>
        <w:t xml:space="preserve"> </w:t>
      </w:r>
      <w:proofErr w:type="spellStart"/>
      <w:r w:rsidRPr="00D25AB9">
        <w:rPr>
          <w:rFonts w:ascii="Arial Narrow" w:hAnsi="Arial Narrow" w:cstheme="minorHAnsi"/>
        </w:rPr>
        <w:t>towards</w:t>
      </w:r>
      <w:proofErr w:type="spellEnd"/>
      <w:r w:rsidRPr="00D25AB9">
        <w:rPr>
          <w:rFonts w:ascii="Arial Narrow" w:hAnsi="Arial Narrow" w:cstheme="minorHAnsi"/>
        </w:rPr>
        <w:t xml:space="preserve"> </w:t>
      </w:r>
      <w:proofErr w:type="spellStart"/>
      <w:r w:rsidRPr="00D25AB9">
        <w:rPr>
          <w:rFonts w:ascii="Arial Narrow" w:hAnsi="Arial Narrow" w:cstheme="minorHAnsi"/>
        </w:rPr>
        <w:t>better</w:t>
      </w:r>
      <w:proofErr w:type="spellEnd"/>
      <w:r w:rsidRPr="00D25AB9">
        <w:rPr>
          <w:rFonts w:ascii="Arial Narrow" w:hAnsi="Arial Narrow" w:cstheme="minorHAnsi"/>
        </w:rPr>
        <w:t xml:space="preserve"> </w:t>
      </w:r>
      <w:proofErr w:type="spellStart"/>
      <w:r w:rsidRPr="00D25AB9">
        <w:rPr>
          <w:rFonts w:ascii="Arial Narrow" w:hAnsi="Arial Narrow" w:cstheme="minorHAnsi"/>
        </w:rPr>
        <w:t>social</w:t>
      </w:r>
      <w:proofErr w:type="spellEnd"/>
      <w:r w:rsidRPr="00D25AB9">
        <w:rPr>
          <w:rFonts w:ascii="Arial Narrow" w:hAnsi="Arial Narrow" w:cstheme="minorHAnsi"/>
        </w:rPr>
        <w:t xml:space="preserve"> </w:t>
      </w:r>
      <w:proofErr w:type="spellStart"/>
      <w:r w:rsidRPr="00D25AB9">
        <w:rPr>
          <w:rFonts w:ascii="Arial Narrow" w:hAnsi="Arial Narrow" w:cstheme="minorHAnsi"/>
        </w:rPr>
        <w:t>inclusion</w:t>
      </w:r>
      <w:proofErr w:type="spellEnd"/>
      <w:r w:rsidRPr="00D25AB9">
        <w:rPr>
          <w:rFonts w:ascii="Arial Narrow" w:hAnsi="Arial Narrow" w:cstheme="minorHAnsi"/>
        </w:rPr>
        <w:t xml:space="preserve">, INO INCLUSION” (Inovatīvas </w:t>
      </w:r>
      <w:proofErr w:type="spellStart"/>
      <w:r w:rsidRPr="00D25AB9">
        <w:rPr>
          <w:rFonts w:ascii="Arial Narrow" w:hAnsi="Arial Narrow" w:cstheme="minorHAnsi"/>
        </w:rPr>
        <w:t>psihosociālās</w:t>
      </w:r>
      <w:proofErr w:type="spellEnd"/>
      <w:r w:rsidRPr="00D25AB9">
        <w:rPr>
          <w:rFonts w:ascii="Arial Narrow" w:hAnsi="Arial Narrow" w:cstheme="minorHAnsi"/>
        </w:rPr>
        <w:t xml:space="preserve"> un fiziskās rehabilitācijas metodes stresa mazināšanai, sociāli neaizsargāto personu grupu iekļaušanai sabiedrībā, INO INCLUSION) Nr. LL-00120. Ar  Vides aizsardzības un reģionālās attīstības ministriju ir noslēgts Subsīdiju līgums par ERAF finansējuma piešķiršanu 80 % apmērā – 373 449,65 EUR. Kopējais projekta budžets 466 812,09 EUR., tai skaitā Slimnīcas projekta daļa 108 007,11 EUR. </w:t>
      </w:r>
    </w:p>
    <w:p w14:paraId="3A97EC27" w14:textId="49DFC50D" w:rsidR="00273F7A" w:rsidRPr="00D25AB9" w:rsidRDefault="00273F7A" w:rsidP="00273F7A">
      <w:pPr>
        <w:rPr>
          <w:rFonts w:ascii="Arial Narrow" w:hAnsi="Arial Narrow" w:cstheme="minorHAnsi"/>
        </w:rPr>
      </w:pPr>
      <w:r w:rsidRPr="00D25AB9">
        <w:rPr>
          <w:rFonts w:ascii="Arial Narrow" w:hAnsi="Arial Narrow" w:cstheme="minorHAnsi"/>
        </w:rPr>
        <w:t xml:space="preserve">Projekts paredz izveidot inovatīvu infrastruktūru, integrētu </w:t>
      </w:r>
      <w:proofErr w:type="spellStart"/>
      <w:r w:rsidRPr="00D25AB9">
        <w:rPr>
          <w:rFonts w:ascii="Arial Narrow" w:hAnsi="Arial Narrow" w:cstheme="minorHAnsi"/>
        </w:rPr>
        <w:t>psihosociālās</w:t>
      </w:r>
      <w:proofErr w:type="spellEnd"/>
      <w:r w:rsidRPr="00D25AB9">
        <w:rPr>
          <w:rFonts w:ascii="Arial Narrow" w:hAnsi="Arial Narrow" w:cstheme="minorHAnsi"/>
        </w:rPr>
        <w:t xml:space="preserve"> un fiziskās rehabilitācijas pasākumu veikšanai un </w:t>
      </w:r>
      <w:proofErr w:type="spellStart"/>
      <w:r w:rsidRPr="00D25AB9">
        <w:rPr>
          <w:rFonts w:ascii="Arial Narrow" w:hAnsi="Arial Narrow" w:cstheme="minorHAnsi"/>
        </w:rPr>
        <w:t>paraugprakses</w:t>
      </w:r>
      <w:proofErr w:type="spellEnd"/>
      <w:r w:rsidRPr="00D25AB9">
        <w:rPr>
          <w:rFonts w:ascii="Arial Narrow" w:hAnsi="Arial Narrow" w:cstheme="minorHAnsi"/>
        </w:rPr>
        <w:t xml:space="preserve"> izplatīšanai un apmaiņai starp projekta partneriem. Projekta rezultātā </w:t>
      </w:r>
      <w:r w:rsidR="008F01FF" w:rsidRPr="00D25AB9">
        <w:rPr>
          <w:rFonts w:ascii="Arial Narrow" w:hAnsi="Arial Narrow" w:cstheme="minorHAnsi"/>
        </w:rPr>
        <w:t xml:space="preserve">Slimnīcā </w:t>
      </w:r>
      <w:r w:rsidRPr="00D25AB9">
        <w:rPr>
          <w:rFonts w:ascii="Arial Narrow" w:hAnsi="Arial Narrow" w:cstheme="minorHAnsi"/>
        </w:rPr>
        <w:t xml:space="preserve">tiks izveidotas divas Runas un komunikācijas terapijas telpas, tai skaitā interaktīva telpa bērniem ar </w:t>
      </w:r>
      <w:proofErr w:type="spellStart"/>
      <w:r w:rsidRPr="00D25AB9">
        <w:rPr>
          <w:rFonts w:ascii="Arial Narrow" w:hAnsi="Arial Narrow" w:cstheme="minorHAnsi"/>
        </w:rPr>
        <w:t>autismu</w:t>
      </w:r>
      <w:proofErr w:type="spellEnd"/>
      <w:r w:rsidRPr="00D25AB9">
        <w:rPr>
          <w:rFonts w:ascii="Arial Narrow" w:hAnsi="Arial Narrow" w:cstheme="minorHAnsi"/>
        </w:rPr>
        <w:t xml:space="preserve"> un citām neiroloģiskām saslimšanām un stresa mazināšanas telpa bērnu vecākiem, pacientiem un slimnīcas personālam. Projekta ietvaros paredzēts arī veikt personāla apmācību veiksmīgai Runas un komunikācijas terapijas ieviešanai. </w:t>
      </w:r>
    </w:p>
    <w:p w14:paraId="714B5AF9" w14:textId="77777777" w:rsidR="00273F7A" w:rsidRPr="00D25AB9" w:rsidRDefault="00273F7A" w:rsidP="00273F7A">
      <w:pPr>
        <w:rPr>
          <w:rFonts w:ascii="Arial Narrow" w:hAnsi="Arial Narrow" w:cstheme="minorHAnsi"/>
        </w:rPr>
      </w:pPr>
      <w:r w:rsidRPr="00D25AB9">
        <w:rPr>
          <w:rFonts w:ascii="Arial Narrow" w:hAnsi="Arial Narrow" w:cstheme="minorHAnsi"/>
        </w:rPr>
        <w:t>Slimnīca kā vadošais partneris projektu realizē sadarbībā ar partneriem no Lietuvas – Klaipēdas slimnīcas rehabilitācijas centrs „</w:t>
      </w:r>
      <w:proofErr w:type="spellStart"/>
      <w:r w:rsidRPr="00D25AB9">
        <w:rPr>
          <w:rFonts w:ascii="Arial Narrow" w:hAnsi="Arial Narrow" w:cstheme="minorHAnsi"/>
        </w:rPr>
        <w:t>Pusynas</w:t>
      </w:r>
      <w:proofErr w:type="spellEnd"/>
      <w:r w:rsidRPr="00D25AB9">
        <w:rPr>
          <w:rFonts w:ascii="Arial Narrow" w:hAnsi="Arial Narrow" w:cstheme="minorHAnsi"/>
        </w:rPr>
        <w:t xml:space="preserve">” (Palanga) un Sv. </w:t>
      </w:r>
      <w:proofErr w:type="spellStart"/>
      <w:r w:rsidRPr="00D25AB9">
        <w:rPr>
          <w:rFonts w:ascii="Arial Narrow" w:hAnsi="Arial Narrow" w:cstheme="minorHAnsi"/>
        </w:rPr>
        <w:t>Asīzes</w:t>
      </w:r>
      <w:proofErr w:type="spellEnd"/>
      <w:r w:rsidRPr="00D25AB9">
        <w:rPr>
          <w:rFonts w:ascii="Arial Narrow" w:hAnsi="Arial Narrow" w:cstheme="minorHAnsi"/>
        </w:rPr>
        <w:t xml:space="preserve"> Franciska klosteris (Klaipēda). </w:t>
      </w:r>
    </w:p>
    <w:p w14:paraId="4BE1688F" w14:textId="77777777" w:rsidR="000E0AC6" w:rsidRPr="00D25AB9" w:rsidRDefault="00273F7A" w:rsidP="00273F7A">
      <w:pPr>
        <w:rPr>
          <w:rFonts w:ascii="Arial Narrow" w:hAnsi="Arial Narrow" w:cstheme="minorHAnsi"/>
        </w:rPr>
      </w:pPr>
      <w:r w:rsidRPr="00D25AB9">
        <w:rPr>
          <w:rFonts w:ascii="Arial Narrow" w:hAnsi="Arial Narrow" w:cstheme="minorHAnsi"/>
        </w:rPr>
        <w:t xml:space="preserve">Projekta ieviešanai Slimnīca ir veikusi divu terapiju telpu remontdarbus un aprīkošanu ar mēbelēm, ir organizēts 2 dienu apmācību kurss – seminārs “Stresa fizioloģija un </w:t>
      </w:r>
      <w:proofErr w:type="spellStart"/>
      <w:r w:rsidRPr="00D25AB9">
        <w:rPr>
          <w:rFonts w:ascii="Arial Narrow" w:hAnsi="Arial Narrow" w:cstheme="minorHAnsi"/>
        </w:rPr>
        <w:t>neirobioloģiski</w:t>
      </w:r>
      <w:proofErr w:type="spellEnd"/>
      <w:r w:rsidRPr="00D25AB9">
        <w:rPr>
          <w:rFonts w:ascii="Arial Narrow" w:hAnsi="Arial Narrow" w:cstheme="minorHAnsi"/>
        </w:rPr>
        <w:t xml:space="preserve"> pamatotas stresa pārvaldīšanas metodes” personālam (apmeklēja vairāk kā 45 darbinieki). </w:t>
      </w:r>
    </w:p>
    <w:p w14:paraId="72EDF53F" w14:textId="00194F34" w:rsidR="00273F7A" w:rsidRPr="00D25AB9" w:rsidRDefault="00273F7A" w:rsidP="00273F7A">
      <w:pPr>
        <w:rPr>
          <w:rFonts w:ascii="Arial Narrow" w:hAnsi="Arial Narrow" w:cstheme="minorHAnsi"/>
        </w:rPr>
      </w:pPr>
      <w:r w:rsidRPr="00D25AB9">
        <w:rPr>
          <w:rFonts w:ascii="Arial Narrow" w:hAnsi="Arial Narrow" w:cstheme="minorHAnsi"/>
        </w:rPr>
        <w:t xml:space="preserve">Pārskata periodā Slimnīca ir turpinājusi ieviest projekta aktivitātes. Ir </w:t>
      </w:r>
      <w:proofErr w:type="spellStart"/>
      <w:r w:rsidR="000E0AC6" w:rsidRPr="00D25AB9">
        <w:rPr>
          <w:rFonts w:ascii="Arial Narrow" w:hAnsi="Arial Narrow" w:cstheme="minorHAnsi"/>
        </w:rPr>
        <w:t>reaizlēta</w:t>
      </w:r>
      <w:proofErr w:type="spellEnd"/>
      <w:r w:rsidRPr="00D25AB9">
        <w:rPr>
          <w:rFonts w:ascii="Arial Narrow" w:hAnsi="Arial Narrow" w:cstheme="minorHAnsi"/>
        </w:rPr>
        <w:t xml:space="preserve"> publiska iepirkuma procedūra, kuras rezultātā </w:t>
      </w:r>
      <w:r w:rsidR="000E0AC6" w:rsidRPr="00D25AB9">
        <w:rPr>
          <w:rFonts w:ascii="Arial Narrow" w:hAnsi="Arial Narrow" w:cstheme="minorHAnsi"/>
        </w:rPr>
        <w:t xml:space="preserve">ir noslēgti līgumi par </w:t>
      </w:r>
      <w:r w:rsidRPr="00D25AB9">
        <w:rPr>
          <w:rFonts w:ascii="Arial Narrow" w:hAnsi="Arial Narrow" w:cstheme="minorHAnsi"/>
        </w:rPr>
        <w:t xml:space="preserve"> terapiju telpu aprīkojum</w:t>
      </w:r>
      <w:r w:rsidR="000E0AC6" w:rsidRPr="00D25AB9">
        <w:rPr>
          <w:rFonts w:ascii="Arial Narrow" w:hAnsi="Arial Narrow" w:cstheme="minorHAnsi"/>
        </w:rPr>
        <w:t>a</w:t>
      </w:r>
      <w:r w:rsidRPr="00D25AB9">
        <w:rPr>
          <w:rFonts w:ascii="Arial Narrow" w:hAnsi="Arial Narrow" w:cstheme="minorHAnsi"/>
        </w:rPr>
        <w:t xml:space="preserve"> – </w:t>
      </w:r>
      <w:proofErr w:type="spellStart"/>
      <w:r w:rsidRPr="00D25AB9">
        <w:rPr>
          <w:rFonts w:ascii="Arial Narrow" w:hAnsi="Arial Narrow" w:cstheme="minorHAnsi"/>
        </w:rPr>
        <w:t>sensor</w:t>
      </w:r>
      <w:r w:rsidR="000E0AC6" w:rsidRPr="00D25AB9">
        <w:rPr>
          <w:rFonts w:ascii="Arial Narrow" w:hAnsi="Arial Narrow" w:cstheme="minorHAnsi"/>
        </w:rPr>
        <w:t>o</w:t>
      </w:r>
      <w:proofErr w:type="spellEnd"/>
      <w:r w:rsidRPr="00D25AB9">
        <w:rPr>
          <w:rFonts w:ascii="Arial Narrow" w:hAnsi="Arial Narrow" w:cstheme="minorHAnsi"/>
        </w:rPr>
        <w:t xml:space="preserve"> iekārt</w:t>
      </w:r>
      <w:r w:rsidR="000E0AC6" w:rsidRPr="00D25AB9">
        <w:rPr>
          <w:rFonts w:ascii="Arial Narrow" w:hAnsi="Arial Narrow" w:cstheme="minorHAnsi"/>
        </w:rPr>
        <w:t xml:space="preserve">u piegādi un uzstādīšanu. </w:t>
      </w:r>
      <w:r w:rsidRPr="00D25AB9">
        <w:rPr>
          <w:rFonts w:ascii="Arial Narrow" w:hAnsi="Arial Narrow" w:cstheme="minorHAnsi"/>
        </w:rPr>
        <w:t xml:space="preserve"> </w:t>
      </w:r>
    </w:p>
    <w:p w14:paraId="660026A6" w14:textId="2ED7A751" w:rsidR="004F5939" w:rsidRPr="00D25AB9" w:rsidRDefault="004F5939" w:rsidP="00273F7A">
      <w:pPr>
        <w:rPr>
          <w:rFonts w:ascii="Arial Narrow" w:hAnsi="Arial Narrow" w:cstheme="minorHAnsi"/>
        </w:rPr>
      </w:pPr>
      <w:r w:rsidRPr="00D25AB9">
        <w:rPr>
          <w:rFonts w:ascii="Arial Narrow" w:hAnsi="Arial Narrow" w:cstheme="minorHAnsi"/>
        </w:rPr>
        <w:t>Projekta realizēšanas laiks ir 24 mēneši – 01.02.2024.-31.01.2026.</w:t>
      </w:r>
    </w:p>
    <w:p w14:paraId="746B4C26" w14:textId="77777777" w:rsidR="00C912BF" w:rsidRPr="00D25AB9" w:rsidRDefault="00C912BF" w:rsidP="00B1399D">
      <w:pPr>
        <w:pStyle w:val="Heading2"/>
        <w:rPr>
          <w:rFonts w:ascii="Arial Narrow" w:hAnsi="Arial Narrow" w:cstheme="minorHAnsi"/>
        </w:rPr>
      </w:pPr>
      <w:r w:rsidRPr="00D25AB9">
        <w:rPr>
          <w:rFonts w:ascii="Arial Narrow" w:hAnsi="Arial Narrow" w:cstheme="minorHAnsi"/>
        </w:rPr>
        <w:t>SPEED UP</w:t>
      </w:r>
    </w:p>
    <w:p w14:paraId="28B2EA41" w14:textId="2D38F87C" w:rsidR="00273F7A" w:rsidRPr="00D25AB9" w:rsidRDefault="00273F7A" w:rsidP="00273F7A">
      <w:pPr>
        <w:rPr>
          <w:rFonts w:ascii="Arial Narrow" w:hAnsi="Arial Narrow" w:cstheme="minorHAnsi"/>
        </w:rPr>
      </w:pPr>
      <w:r w:rsidRPr="00D25AB9">
        <w:rPr>
          <w:rFonts w:ascii="Arial Narrow" w:hAnsi="Arial Narrow" w:cstheme="minorHAnsi"/>
        </w:rPr>
        <w:t>202</w:t>
      </w:r>
      <w:r w:rsidR="004F5939" w:rsidRPr="00D25AB9">
        <w:rPr>
          <w:rFonts w:ascii="Arial Narrow" w:hAnsi="Arial Narrow" w:cstheme="minorHAnsi"/>
        </w:rPr>
        <w:t>5</w:t>
      </w:r>
      <w:r w:rsidRPr="00D25AB9">
        <w:rPr>
          <w:rFonts w:ascii="Arial Narrow" w:hAnsi="Arial Narrow" w:cstheme="minorHAnsi"/>
        </w:rPr>
        <w:t xml:space="preserve">.gada </w:t>
      </w:r>
      <w:r w:rsidR="004F5939" w:rsidRPr="00D25AB9">
        <w:rPr>
          <w:rFonts w:ascii="Arial Narrow" w:hAnsi="Arial Narrow" w:cstheme="minorHAnsi"/>
        </w:rPr>
        <w:t>14.aprīlī</w:t>
      </w:r>
      <w:r w:rsidRPr="00D25AB9">
        <w:rPr>
          <w:rFonts w:ascii="Arial Narrow" w:hAnsi="Arial Narrow" w:cstheme="minorHAnsi"/>
        </w:rPr>
        <w:t xml:space="preserve"> Slimnīca ir </w:t>
      </w:r>
      <w:r w:rsidR="004F5939" w:rsidRPr="00D25AB9">
        <w:rPr>
          <w:rFonts w:ascii="Arial Narrow" w:hAnsi="Arial Narrow" w:cstheme="minorHAnsi"/>
        </w:rPr>
        <w:t>noslēgusi Sadarbības līgumu par</w:t>
      </w:r>
      <w:r w:rsidRPr="00D25AB9">
        <w:rPr>
          <w:rFonts w:ascii="Arial Narrow" w:hAnsi="Arial Narrow" w:cstheme="minorHAnsi"/>
        </w:rPr>
        <w:t xml:space="preserve"> </w:t>
      </w:r>
      <w:proofErr w:type="spellStart"/>
      <w:r w:rsidRPr="00D25AB9">
        <w:rPr>
          <w:rFonts w:ascii="Arial Narrow" w:hAnsi="Arial Narrow" w:cstheme="minorHAnsi"/>
        </w:rPr>
        <w:t>Interreg</w:t>
      </w:r>
      <w:proofErr w:type="spellEnd"/>
      <w:r w:rsidRPr="00D25AB9">
        <w:rPr>
          <w:rFonts w:ascii="Arial Narrow" w:hAnsi="Arial Narrow" w:cstheme="minorHAnsi"/>
        </w:rPr>
        <w:t xml:space="preserve"> </w:t>
      </w:r>
      <w:r w:rsidR="004F5939" w:rsidRPr="00D25AB9">
        <w:rPr>
          <w:rFonts w:ascii="Arial Narrow" w:hAnsi="Arial Narrow" w:cstheme="minorHAnsi"/>
        </w:rPr>
        <w:t xml:space="preserve">VI-I </w:t>
      </w:r>
      <w:r w:rsidRPr="00D25AB9">
        <w:rPr>
          <w:rFonts w:ascii="Arial Narrow" w:hAnsi="Arial Narrow" w:cstheme="minorHAnsi"/>
        </w:rPr>
        <w:t>Latvijas – Lietuvas pārrobežu sadarbības programmas 2021. – 2027. gadam projekta Nr. LL-00270 “</w:t>
      </w:r>
      <w:proofErr w:type="spellStart"/>
      <w:r w:rsidRPr="00D25AB9">
        <w:rPr>
          <w:rFonts w:ascii="Arial Narrow" w:hAnsi="Arial Narrow" w:cstheme="minorHAnsi"/>
        </w:rPr>
        <w:t>Speed</w:t>
      </w:r>
      <w:proofErr w:type="spellEnd"/>
      <w:r w:rsidRPr="00D25AB9">
        <w:rPr>
          <w:rFonts w:ascii="Arial Narrow" w:hAnsi="Arial Narrow" w:cstheme="minorHAnsi"/>
        </w:rPr>
        <w:t xml:space="preserve"> </w:t>
      </w:r>
      <w:proofErr w:type="spellStart"/>
      <w:r w:rsidRPr="00D25AB9">
        <w:rPr>
          <w:rFonts w:ascii="Arial Narrow" w:hAnsi="Arial Narrow" w:cstheme="minorHAnsi"/>
        </w:rPr>
        <w:t>up</w:t>
      </w:r>
      <w:proofErr w:type="spellEnd"/>
      <w:r w:rsidRPr="00D25AB9">
        <w:rPr>
          <w:rFonts w:ascii="Arial Narrow" w:hAnsi="Arial Narrow" w:cstheme="minorHAnsi"/>
        </w:rPr>
        <w:t xml:space="preserve"> </w:t>
      </w:r>
      <w:proofErr w:type="spellStart"/>
      <w:r w:rsidRPr="00D25AB9">
        <w:rPr>
          <w:rFonts w:ascii="Arial Narrow" w:hAnsi="Arial Narrow" w:cstheme="minorHAnsi"/>
        </w:rPr>
        <w:t>the</w:t>
      </w:r>
      <w:proofErr w:type="spellEnd"/>
      <w:r w:rsidRPr="00D25AB9">
        <w:rPr>
          <w:rFonts w:ascii="Arial Narrow" w:hAnsi="Arial Narrow" w:cstheme="minorHAnsi"/>
        </w:rPr>
        <w:t xml:space="preserve"> </w:t>
      </w:r>
      <w:proofErr w:type="spellStart"/>
      <w:r w:rsidRPr="00D25AB9">
        <w:rPr>
          <w:rFonts w:ascii="Arial Narrow" w:hAnsi="Arial Narrow" w:cstheme="minorHAnsi"/>
        </w:rPr>
        <w:t>rehabilitation</w:t>
      </w:r>
      <w:proofErr w:type="spellEnd"/>
      <w:r w:rsidRPr="00D25AB9">
        <w:rPr>
          <w:rFonts w:ascii="Arial Narrow" w:hAnsi="Arial Narrow" w:cstheme="minorHAnsi"/>
        </w:rPr>
        <w:t xml:space="preserve"> </w:t>
      </w:r>
      <w:proofErr w:type="spellStart"/>
      <w:r w:rsidRPr="00D25AB9">
        <w:rPr>
          <w:rFonts w:ascii="Arial Narrow" w:hAnsi="Arial Narrow" w:cstheme="minorHAnsi"/>
        </w:rPr>
        <w:t>through</w:t>
      </w:r>
      <w:proofErr w:type="spellEnd"/>
      <w:r w:rsidRPr="00D25AB9">
        <w:rPr>
          <w:rFonts w:ascii="Arial Narrow" w:hAnsi="Arial Narrow" w:cstheme="minorHAnsi"/>
        </w:rPr>
        <w:t xml:space="preserve"> </w:t>
      </w:r>
      <w:proofErr w:type="spellStart"/>
      <w:r w:rsidRPr="00D25AB9">
        <w:rPr>
          <w:rFonts w:ascii="Arial Narrow" w:hAnsi="Arial Narrow" w:cstheme="minorHAnsi"/>
        </w:rPr>
        <w:t>digitalization</w:t>
      </w:r>
      <w:proofErr w:type="spellEnd"/>
      <w:r w:rsidRPr="00D25AB9">
        <w:rPr>
          <w:rFonts w:ascii="Arial Narrow" w:hAnsi="Arial Narrow" w:cstheme="minorHAnsi"/>
        </w:rPr>
        <w:t xml:space="preserve"> </w:t>
      </w:r>
      <w:proofErr w:type="spellStart"/>
      <w:r w:rsidRPr="00D25AB9">
        <w:rPr>
          <w:rFonts w:ascii="Arial Narrow" w:hAnsi="Arial Narrow" w:cstheme="minorHAnsi"/>
        </w:rPr>
        <w:t>as</w:t>
      </w:r>
      <w:proofErr w:type="spellEnd"/>
      <w:r w:rsidRPr="00D25AB9">
        <w:rPr>
          <w:rFonts w:ascii="Arial Narrow" w:hAnsi="Arial Narrow" w:cstheme="minorHAnsi"/>
        </w:rPr>
        <w:t xml:space="preserve"> a </w:t>
      </w:r>
      <w:proofErr w:type="spellStart"/>
      <w:r w:rsidRPr="00D25AB9">
        <w:rPr>
          <w:rFonts w:ascii="Arial Narrow" w:hAnsi="Arial Narrow" w:cstheme="minorHAnsi"/>
        </w:rPr>
        <w:t>mean</w:t>
      </w:r>
      <w:proofErr w:type="spellEnd"/>
      <w:r w:rsidRPr="00D25AB9">
        <w:rPr>
          <w:rFonts w:ascii="Arial Narrow" w:hAnsi="Arial Narrow" w:cstheme="minorHAnsi"/>
        </w:rPr>
        <w:t xml:space="preserve"> </w:t>
      </w:r>
      <w:proofErr w:type="spellStart"/>
      <w:r w:rsidRPr="00D25AB9">
        <w:rPr>
          <w:rFonts w:ascii="Arial Narrow" w:hAnsi="Arial Narrow" w:cstheme="minorHAnsi"/>
        </w:rPr>
        <w:t>of</w:t>
      </w:r>
      <w:proofErr w:type="spellEnd"/>
      <w:r w:rsidRPr="00D25AB9">
        <w:rPr>
          <w:rFonts w:ascii="Arial Narrow" w:hAnsi="Arial Narrow" w:cstheme="minorHAnsi"/>
        </w:rPr>
        <w:t xml:space="preserve"> </w:t>
      </w:r>
      <w:proofErr w:type="spellStart"/>
      <w:r w:rsidRPr="00D25AB9">
        <w:rPr>
          <w:rFonts w:ascii="Arial Narrow" w:hAnsi="Arial Narrow" w:cstheme="minorHAnsi"/>
        </w:rPr>
        <w:t>social</w:t>
      </w:r>
      <w:proofErr w:type="spellEnd"/>
      <w:r w:rsidRPr="00D25AB9">
        <w:rPr>
          <w:rFonts w:ascii="Arial Narrow" w:hAnsi="Arial Narrow" w:cstheme="minorHAnsi"/>
        </w:rPr>
        <w:t xml:space="preserve"> </w:t>
      </w:r>
      <w:proofErr w:type="spellStart"/>
      <w:r w:rsidRPr="00D25AB9">
        <w:rPr>
          <w:rFonts w:ascii="Arial Narrow" w:hAnsi="Arial Narrow" w:cstheme="minorHAnsi"/>
        </w:rPr>
        <w:t>inclussion</w:t>
      </w:r>
      <w:proofErr w:type="spellEnd"/>
      <w:r w:rsidRPr="00D25AB9">
        <w:rPr>
          <w:rFonts w:ascii="Arial Narrow" w:hAnsi="Arial Narrow" w:cstheme="minorHAnsi"/>
        </w:rPr>
        <w:t xml:space="preserve">” SPEED UP (“Paātrināt rehabilitāciju, izmantojot </w:t>
      </w:r>
      <w:proofErr w:type="spellStart"/>
      <w:r w:rsidRPr="00D25AB9">
        <w:rPr>
          <w:rFonts w:ascii="Arial Narrow" w:hAnsi="Arial Narrow" w:cstheme="minorHAnsi"/>
        </w:rPr>
        <w:t>digitalizāciju</w:t>
      </w:r>
      <w:proofErr w:type="spellEnd"/>
      <w:r w:rsidRPr="00D25AB9">
        <w:rPr>
          <w:rFonts w:ascii="Arial Narrow" w:hAnsi="Arial Narrow" w:cstheme="minorHAnsi"/>
        </w:rPr>
        <w:t xml:space="preserve"> kā līdzekli sociālās iekļaušanās veicināšanai” SPEED UP) ieviešan</w:t>
      </w:r>
      <w:r w:rsidR="004F5939" w:rsidRPr="00D25AB9">
        <w:rPr>
          <w:rFonts w:ascii="Arial Narrow" w:hAnsi="Arial Narrow" w:cstheme="minorHAnsi"/>
        </w:rPr>
        <w:t>u</w:t>
      </w:r>
      <w:r w:rsidRPr="00D25AB9">
        <w:rPr>
          <w:rFonts w:ascii="Arial Narrow" w:hAnsi="Arial Narrow" w:cstheme="minorHAnsi"/>
        </w:rPr>
        <w:t xml:space="preserve">. </w:t>
      </w:r>
    </w:p>
    <w:p w14:paraId="72D18658" w14:textId="77777777" w:rsidR="00273F7A" w:rsidRPr="00D25AB9" w:rsidRDefault="00273F7A" w:rsidP="00273F7A">
      <w:pPr>
        <w:rPr>
          <w:rFonts w:ascii="Arial Narrow" w:hAnsi="Arial Narrow" w:cstheme="minorHAnsi"/>
        </w:rPr>
      </w:pPr>
      <w:r w:rsidRPr="00D25AB9">
        <w:rPr>
          <w:rFonts w:ascii="Arial Narrow" w:hAnsi="Arial Narrow" w:cstheme="minorHAnsi"/>
        </w:rPr>
        <w:t xml:space="preserve">SPEED UP projekts paredz izveidot inovatīvu infrastruktūru un radīt inovatīvu digitālās veselības risinājumu, kas paātrinātu neaizsargāto grupu atgriešanos sabiedrībā. Projekta rezultātā Piejūras slimnīcā tiks labiekārtotas telpas rehabilitācijas veikšanai. Būtiskākās paredzamās rehabilitācijas metodes – virtuālās realitātes rehabilitācijas telpa ar NIRVANA III rīku, kognitīvās un </w:t>
      </w:r>
      <w:proofErr w:type="spellStart"/>
      <w:r w:rsidRPr="00D25AB9">
        <w:rPr>
          <w:rFonts w:ascii="Arial Narrow" w:hAnsi="Arial Narrow" w:cstheme="minorHAnsi"/>
        </w:rPr>
        <w:t>motorās</w:t>
      </w:r>
      <w:proofErr w:type="spellEnd"/>
      <w:r w:rsidRPr="00D25AB9">
        <w:rPr>
          <w:rFonts w:ascii="Arial Narrow" w:hAnsi="Arial Narrow" w:cstheme="minorHAnsi"/>
        </w:rPr>
        <w:t xml:space="preserve"> rehabilitācijas rīks </w:t>
      </w:r>
      <w:proofErr w:type="spellStart"/>
      <w:r w:rsidRPr="00D25AB9">
        <w:rPr>
          <w:rFonts w:ascii="Arial Narrow" w:hAnsi="Arial Narrow" w:cstheme="minorHAnsi"/>
        </w:rPr>
        <w:t>RehaCom</w:t>
      </w:r>
      <w:proofErr w:type="spellEnd"/>
      <w:r w:rsidRPr="00D25AB9">
        <w:rPr>
          <w:rFonts w:ascii="Arial Narrow" w:hAnsi="Arial Narrow" w:cstheme="minorHAnsi"/>
        </w:rPr>
        <w:t xml:space="preserve">, aprīkotas fizioterapijas un procedūru telpas. Projekta ietvaros paredzēts arī veikt personāla un pacientu apmācību un praktisko nodarbību ciklu. </w:t>
      </w:r>
    </w:p>
    <w:p w14:paraId="6B1BC9CA" w14:textId="77777777" w:rsidR="00273F7A" w:rsidRPr="00D25AB9" w:rsidRDefault="00273F7A" w:rsidP="00273F7A">
      <w:pPr>
        <w:rPr>
          <w:rFonts w:ascii="Arial Narrow" w:hAnsi="Arial Narrow" w:cstheme="minorHAnsi"/>
        </w:rPr>
      </w:pPr>
      <w:r w:rsidRPr="00D25AB9">
        <w:rPr>
          <w:rFonts w:ascii="Arial Narrow" w:hAnsi="Arial Narrow" w:cstheme="minorHAnsi"/>
        </w:rPr>
        <w:t>Projektu paredzēts realizēts sadarbojoties ar projekta partneriem no Lietuvas – Klaipēdas slimnīcas rehabilitācijas centrs „</w:t>
      </w:r>
      <w:proofErr w:type="spellStart"/>
      <w:r w:rsidRPr="00D25AB9">
        <w:rPr>
          <w:rFonts w:ascii="Arial Narrow" w:hAnsi="Arial Narrow" w:cstheme="minorHAnsi"/>
        </w:rPr>
        <w:t>Pusynas</w:t>
      </w:r>
      <w:proofErr w:type="spellEnd"/>
      <w:r w:rsidRPr="00D25AB9">
        <w:rPr>
          <w:rFonts w:ascii="Arial Narrow" w:hAnsi="Arial Narrow" w:cstheme="minorHAnsi"/>
        </w:rPr>
        <w:t>” (Palanga) – vadošais partneris un Nevalstisko organizāciju "</w:t>
      </w:r>
      <w:proofErr w:type="spellStart"/>
      <w:r w:rsidRPr="00D25AB9">
        <w:rPr>
          <w:rFonts w:ascii="Arial Narrow" w:hAnsi="Arial Narrow" w:cstheme="minorHAnsi"/>
        </w:rPr>
        <w:t>Švietimo</w:t>
      </w:r>
      <w:proofErr w:type="spellEnd"/>
      <w:r w:rsidRPr="00D25AB9">
        <w:rPr>
          <w:rFonts w:ascii="Arial Narrow" w:hAnsi="Arial Narrow" w:cstheme="minorHAnsi"/>
        </w:rPr>
        <w:t xml:space="preserve">, </w:t>
      </w:r>
      <w:proofErr w:type="spellStart"/>
      <w:r w:rsidRPr="00D25AB9">
        <w:rPr>
          <w:rFonts w:ascii="Arial Narrow" w:hAnsi="Arial Narrow" w:cstheme="minorHAnsi"/>
        </w:rPr>
        <w:t>sveikatos</w:t>
      </w:r>
      <w:proofErr w:type="spellEnd"/>
      <w:r w:rsidRPr="00D25AB9">
        <w:rPr>
          <w:rFonts w:ascii="Arial Narrow" w:hAnsi="Arial Narrow" w:cstheme="minorHAnsi"/>
        </w:rPr>
        <w:t xml:space="preserve"> ir </w:t>
      </w:r>
      <w:proofErr w:type="spellStart"/>
      <w:r w:rsidRPr="00D25AB9">
        <w:rPr>
          <w:rFonts w:ascii="Arial Narrow" w:hAnsi="Arial Narrow" w:cstheme="minorHAnsi"/>
        </w:rPr>
        <w:t>socialinių</w:t>
      </w:r>
      <w:proofErr w:type="spellEnd"/>
      <w:r w:rsidRPr="00D25AB9">
        <w:rPr>
          <w:rFonts w:ascii="Arial Narrow" w:hAnsi="Arial Narrow" w:cstheme="minorHAnsi"/>
        </w:rPr>
        <w:t xml:space="preserve"> </w:t>
      </w:r>
      <w:proofErr w:type="spellStart"/>
      <w:r w:rsidRPr="00D25AB9">
        <w:rPr>
          <w:rFonts w:ascii="Arial Narrow" w:hAnsi="Arial Narrow" w:cstheme="minorHAnsi"/>
        </w:rPr>
        <w:t>inovacijos</w:t>
      </w:r>
      <w:proofErr w:type="spellEnd"/>
      <w:r w:rsidRPr="00D25AB9">
        <w:rPr>
          <w:rFonts w:ascii="Arial Narrow" w:hAnsi="Arial Narrow" w:cstheme="minorHAnsi"/>
        </w:rPr>
        <w:t xml:space="preserve"> </w:t>
      </w:r>
      <w:proofErr w:type="spellStart"/>
      <w:r w:rsidRPr="00D25AB9">
        <w:rPr>
          <w:rFonts w:ascii="Arial Narrow" w:hAnsi="Arial Narrow" w:cstheme="minorHAnsi"/>
        </w:rPr>
        <w:t>centras</w:t>
      </w:r>
      <w:proofErr w:type="spellEnd"/>
      <w:r w:rsidRPr="00D25AB9">
        <w:rPr>
          <w:rFonts w:ascii="Arial Narrow" w:hAnsi="Arial Narrow" w:cstheme="minorHAnsi"/>
        </w:rPr>
        <w:t>" (Klaipēdas rajonā).</w:t>
      </w:r>
    </w:p>
    <w:p w14:paraId="241932E9" w14:textId="5E09D2C4" w:rsidR="00273F7A" w:rsidRPr="00D25AB9" w:rsidRDefault="008F01FF" w:rsidP="00273F7A">
      <w:pPr>
        <w:rPr>
          <w:rFonts w:ascii="Arial Narrow" w:hAnsi="Arial Narrow" w:cstheme="minorHAnsi"/>
        </w:rPr>
      </w:pPr>
      <w:r w:rsidRPr="00D25AB9">
        <w:rPr>
          <w:rFonts w:ascii="Arial Narrow" w:hAnsi="Arial Narrow" w:cstheme="minorHAnsi"/>
        </w:rPr>
        <w:lastRenderedPageBreak/>
        <w:t xml:space="preserve">Slimnīcas </w:t>
      </w:r>
      <w:r w:rsidR="00273F7A" w:rsidRPr="00D25AB9">
        <w:rPr>
          <w:rFonts w:ascii="Arial Narrow" w:hAnsi="Arial Narrow" w:cstheme="minorHAnsi"/>
        </w:rPr>
        <w:t xml:space="preserve">projekta budžets paredzēts 204 048,65 EUR, no kura plānotais ERAF finansējums 80 % apmērā – 163 238,92 EUR. </w:t>
      </w:r>
    </w:p>
    <w:p w14:paraId="361255D0" w14:textId="7872DE28" w:rsidR="004F5939" w:rsidRPr="00D25AB9" w:rsidRDefault="004F5939" w:rsidP="00273F7A">
      <w:pPr>
        <w:rPr>
          <w:rFonts w:ascii="Arial Narrow" w:hAnsi="Arial Narrow" w:cstheme="minorHAnsi"/>
        </w:rPr>
      </w:pPr>
      <w:r w:rsidRPr="00D25AB9">
        <w:rPr>
          <w:rFonts w:ascii="Arial Narrow" w:hAnsi="Arial Narrow" w:cstheme="minorHAnsi"/>
        </w:rPr>
        <w:t>Projekta realizēšanas laiks ir 24 mēneši – 01.02.2024.-31.01.2026.</w:t>
      </w:r>
    </w:p>
    <w:p w14:paraId="4B611163" w14:textId="0AAC48F3" w:rsidR="00C912BF" w:rsidRPr="00D25AB9" w:rsidRDefault="00C912BF" w:rsidP="00B1399D">
      <w:pPr>
        <w:pStyle w:val="Heading2"/>
        <w:rPr>
          <w:rFonts w:ascii="Arial Narrow" w:hAnsi="Arial Narrow" w:cstheme="minorHAnsi"/>
        </w:rPr>
      </w:pPr>
      <w:r w:rsidRPr="00D25AB9">
        <w:rPr>
          <w:rFonts w:ascii="Arial Narrow" w:hAnsi="Arial Narrow" w:cstheme="minorHAnsi"/>
        </w:rPr>
        <w:t xml:space="preserve">dienas stacionāra </w:t>
      </w:r>
      <w:r w:rsidR="003D2257" w:rsidRPr="00D25AB9">
        <w:rPr>
          <w:rFonts w:ascii="Arial Narrow" w:hAnsi="Arial Narrow" w:cstheme="minorHAnsi"/>
        </w:rPr>
        <w:t>attīstība</w:t>
      </w:r>
    </w:p>
    <w:p w14:paraId="3DA3FDE7" w14:textId="358C9980" w:rsidR="004F5939" w:rsidRPr="00D25AB9" w:rsidRDefault="00273F7A" w:rsidP="00273F7A">
      <w:pPr>
        <w:rPr>
          <w:rFonts w:ascii="Arial Narrow" w:hAnsi="Arial Narrow" w:cstheme="minorHAnsi"/>
        </w:rPr>
      </w:pPr>
      <w:r w:rsidRPr="00D25AB9">
        <w:rPr>
          <w:rFonts w:ascii="Arial Narrow" w:hAnsi="Arial Narrow" w:cstheme="minorHAnsi"/>
        </w:rPr>
        <w:t>2024.gada decembrī sadarbībā ar V</w:t>
      </w:r>
      <w:r w:rsidR="006717C7" w:rsidRPr="00D25AB9">
        <w:rPr>
          <w:rFonts w:ascii="Arial Narrow" w:hAnsi="Arial Narrow" w:cstheme="minorHAnsi"/>
        </w:rPr>
        <w:t xml:space="preserve">alsts </w:t>
      </w:r>
      <w:r w:rsidRPr="00D25AB9">
        <w:rPr>
          <w:rFonts w:ascii="Arial Narrow" w:hAnsi="Arial Narrow" w:cstheme="minorHAnsi"/>
        </w:rPr>
        <w:t xml:space="preserve">SIA “Nacionālais psihiskās veselības centrs” ir iesniegts projekta pieteikums finansējuma piesaistei 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trešās kārtas ietvaros. </w:t>
      </w:r>
    </w:p>
    <w:p w14:paraId="28733E97" w14:textId="6349329D" w:rsidR="00273F7A" w:rsidRPr="00D25AB9" w:rsidRDefault="00273F7A" w:rsidP="00273F7A">
      <w:pPr>
        <w:rPr>
          <w:rFonts w:ascii="Arial Narrow" w:hAnsi="Arial Narrow" w:cstheme="minorHAnsi"/>
        </w:rPr>
      </w:pPr>
      <w:r w:rsidRPr="00D25AB9">
        <w:rPr>
          <w:rFonts w:ascii="Arial Narrow" w:hAnsi="Arial Narrow" w:cstheme="minorHAnsi"/>
        </w:rPr>
        <w:t xml:space="preserve">Pārskata periodā ir saņemts Centrālās finanšu un līgumu aģentūras atzinums Nr. 39-2-10/1693, par projekta apstiprināšanu un </w:t>
      </w:r>
      <w:r w:rsidR="004F5939" w:rsidRPr="00D25AB9">
        <w:rPr>
          <w:rFonts w:ascii="Arial Narrow" w:hAnsi="Arial Narrow" w:cstheme="minorHAnsi"/>
        </w:rPr>
        <w:t>Valsts SIA “Nacionāla</w:t>
      </w:r>
      <w:r w:rsidR="006717C7" w:rsidRPr="00D25AB9">
        <w:rPr>
          <w:rFonts w:ascii="Arial Narrow" w:hAnsi="Arial Narrow" w:cstheme="minorHAnsi"/>
        </w:rPr>
        <w:t>i</w:t>
      </w:r>
      <w:r w:rsidR="004F5939" w:rsidRPr="00D25AB9">
        <w:rPr>
          <w:rFonts w:ascii="Arial Narrow" w:hAnsi="Arial Narrow" w:cstheme="minorHAnsi"/>
        </w:rPr>
        <w:t>s psihiskās veselības centrs” ir noslēdzis līgumu par projekta Nr. 4.1.1.1/3.24/I/001 ieviešanu</w:t>
      </w:r>
      <w:r w:rsidRPr="00D25AB9">
        <w:rPr>
          <w:rFonts w:ascii="Arial Narrow" w:hAnsi="Arial Narrow" w:cstheme="minorHAnsi"/>
        </w:rPr>
        <w:t xml:space="preserve">. </w:t>
      </w:r>
    </w:p>
    <w:p w14:paraId="629B0EDE" w14:textId="1FB459B9" w:rsidR="006717C7" w:rsidRPr="00D25AB9" w:rsidRDefault="008F01FF" w:rsidP="006717C7">
      <w:pPr>
        <w:rPr>
          <w:rFonts w:ascii="Arial Narrow" w:hAnsi="Arial Narrow" w:cstheme="minorHAnsi"/>
        </w:rPr>
      </w:pPr>
      <w:r w:rsidRPr="00D25AB9">
        <w:rPr>
          <w:rFonts w:ascii="Arial Narrow" w:hAnsi="Arial Narrow" w:cstheme="minorHAnsi"/>
        </w:rPr>
        <w:t xml:space="preserve">Slimnīcas </w:t>
      </w:r>
      <w:r w:rsidR="006717C7" w:rsidRPr="00D25AB9">
        <w:rPr>
          <w:rFonts w:ascii="Arial Narrow" w:hAnsi="Arial Narrow" w:cstheme="minorHAnsi"/>
        </w:rPr>
        <w:t xml:space="preserve">kopējais projekta budžets ir 757 886,00 EUR, no kura ERAF finansējums 85 % apmērā – 644 204,00 EUR, valsts budžeta finansējums – 113 683,00 EUR. </w:t>
      </w:r>
    </w:p>
    <w:p w14:paraId="233C8310" w14:textId="77777777" w:rsidR="00632EC4" w:rsidRPr="00D25AB9" w:rsidRDefault="006717C7" w:rsidP="00273F7A">
      <w:pPr>
        <w:rPr>
          <w:rFonts w:ascii="Arial Narrow" w:hAnsi="Arial Narrow" w:cstheme="minorHAnsi"/>
        </w:rPr>
      </w:pPr>
      <w:r w:rsidRPr="00D25AB9">
        <w:rPr>
          <w:rFonts w:ascii="Arial Narrow" w:hAnsi="Arial Narrow" w:cstheme="minorHAnsi"/>
        </w:rPr>
        <w:t>No projekta Slimnīcai paredzētiem līdzekļiem daļēji finansējums tiks novirzīts Uzņemšanas nodaļas vienkāršotās atjaunošanas izdevumu segšanai</w:t>
      </w:r>
      <w:r w:rsidR="00632EC4" w:rsidRPr="00D25AB9">
        <w:rPr>
          <w:rFonts w:ascii="Arial Narrow" w:hAnsi="Arial Narrow" w:cstheme="minorHAnsi"/>
        </w:rPr>
        <w:t xml:space="preserve">, </w:t>
      </w:r>
      <w:r w:rsidRPr="00D25AB9">
        <w:rPr>
          <w:rFonts w:ascii="Arial Narrow" w:hAnsi="Arial Narrow" w:cstheme="minorHAnsi"/>
        </w:rPr>
        <w:t xml:space="preserve">aptuveni </w:t>
      </w:r>
      <w:r w:rsidR="00632EC4" w:rsidRPr="00D25AB9">
        <w:rPr>
          <w:rFonts w:ascii="Arial Narrow" w:hAnsi="Arial Narrow" w:cstheme="minorHAnsi"/>
        </w:rPr>
        <w:t xml:space="preserve">405 000,00 EUR, un investīcijas 352 886,00 EUR apmērā paredzētas </w:t>
      </w:r>
      <w:r w:rsidR="00273F7A" w:rsidRPr="00D25AB9">
        <w:rPr>
          <w:rFonts w:ascii="Arial Narrow" w:hAnsi="Arial Narrow" w:cstheme="minorHAnsi"/>
        </w:rPr>
        <w:t xml:space="preserve">telpu infrastruktūras attīstībai Psihiatriskās ārstniecības un rehabilitācijas pakalpojumu sniegšanai dienas stacionāra ietvaros. </w:t>
      </w:r>
    </w:p>
    <w:p w14:paraId="6834E365" w14:textId="7371CF1A" w:rsidR="00273F7A" w:rsidRPr="00D25AB9" w:rsidRDefault="00273F7A" w:rsidP="00273F7A">
      <w:pPr>
        <w:rPr>
          <w:rFonts w:ascii="Arial Narrow" w:hAnsi="Arial Narrow" w:cstheme="minorHAnsi"/>
        </w:rPr>
      </w:pPr>
      <w:r w:rsidRPr="00D25AB9">
        <w:rPr>
          <w:rFonts w:ascii="Arial Narrow" w:hAnsi="Arial Narrow" w:cstheme="minorHAnsi"/>
        </w:rPr>
        <w:t>Slimnīca ir uzsākusi izvērtēt esošo ēku infrastruktūru un neizmantoto telpu iespējas. 2025.gada 3.ceturksnī tiks veikta iepirkuma procedūra tehniskās dokumentācijas izstrādei</w:t>
      </w:r>
      <w:r w:rsidR="00632EC4" w:rsidRPr="00D25AB9">
        <w:rPr>
          <w:rFonts w:ascii="Arial Narrow" w:hAnsi="Arial Narrow" w:cstheme="minorHAnsi"/>
        </w:rPr>
        <w:t>, lai labiekārtotu neizmantotas telpas, kuras sniegs iespēju uzlabot pakalpojumu sniegšanas kvalitāti un paplašinās iespējas a</w:t>
      </w:r>
      <w:r w:rsidR="00E83E29" w:rsidRPr="00D25AB9">
        <w:rPr>
          <w:rFonts w:ascii="Arial Narrow" w:hAnsi="Arial Narrow" w:cstheme="minorHAnsi"/>
        </w:rPr>
        <w:t xml:space="preserve">ttīstīt pakalpojumus. </w:t>
      </w:r>
    </w:p>
    <w:p w14:paraId="5A37C762" w14:textId="7022FE1F" w:rsidR="00273F7A" w:rsidRPr="00D25AB9" w:rsidRDefault="00273F7A" w:rsidP="00273F7A">
      <w:pPr>
        <w:rPr>
          <w:rFonts w:ascii="Arial Narrow" w:hAnsi="Arial Narrow" w:cstheme="minorHAnsi"/>
        </w:rPr>
      </w:pPr>
      <w:r w:rsidRPr="00D25AB9">
        <w:rPr>
          <w:rFonts w:ascii="Arial Narrow" w:hAnsi="Arial Narrow" w:cstheme="minorHAnsi"/>
        </w:rPr>
        <w:t>Plānots realizēt projekta būvniecības aktivitātes 2026.gadā.</w:t>
      </w:r>
    </w:p>
    <w:p w14:paraId="18F1B142" w14:textId="00457126" w:rsidR="00C912BF" w:rsidRPr="00D25AB9" w:rsidRDefault="00E83E29" w:rsidP="00B1399D">
      <w:pPr>
        <w:pStyle w:val="Heading2"/>
        <w:rPr>
          <w:rFonts w:ascii="Arial Narrow" w:hAnsi="Arial Narrow" w:cstheme="minorHAnsi"/>
        </w:rPr>
      </w:pPr>
      <w:r w:rsidRPr="00D25AB9">
        <w:rPr>
          <w:rFonts w:ascii="Arial Narrow" w:hAnsi="Arial Narrow" w:cstheme="minorHAnsi"/>
        </w:rPr>
        <w:t>Ārstniecības ēka rehabilitācijas attīstībai</w:t>
      </w:r>
    </w:p>
    <w:p w14:paraId="72DA0DB4" w14:textId="589BCC38" w:rsidR="00273F7A" w:rsidRPr="00D25AB9" w:rsidRDefault="00273F7A" w:rsidP="00273F7A">
      <w:pPr>
        <w:rPr>
          <w:rFonts w:ascii="Arial Narrow" w:hAnsi="Arial Narrow" w:cstheme="minorHAnsi"/>
        </w:rPr>
      </w:pPr>
      <w:r w:rsidRPr="00D25AB9">
        <w:rPr>
          <w:rFonts w:ascii="Arial Narrow" w:hAnsi="Arial Narrow" w:cstheme="minorHAnsi"/>
        </w:rPr>
        <w:t>2024.gadā pēc Veselības ministrijas aicinājuma ir izvērtēta telpu infrastruktūra un nepieciešamās investīcijas, lai būtu iespējams slimnīcā attīstīt jaunu</w:t>
      </w:r>
      <w:r w:rsidR="00E83E29" w:rsidRPr="00D25AB9">
        <w:rPr>
          <w:rFonts w:ascii="Arial Narrow" w:hAnsi="Arial Narrow" w:cstheme="minorHAnsi"/>
        </w:rPr>
        <w:t>s rehabilitācijas</w:t>
      </w:r>
      <w:r w:rsidRPr="00D25AB9">
        <w:rPr>
          <w:rFonts w:ascii="Arial Narrow" w:hAnsi="Arial Narrow" w:cstheme="minorHAnsi"/>
        </w:rPr>
        <w:t xml:space="preserve"> pakalpojumu - Pusaudžu narkoloģiskās Motivācijas programmu. Pamatojoties uz iespējām un izdevumu aprēķiniem </w:t>
      </w:r>
      <w:r w:rsidR="00D25AB9" w:rsidRPr="00D25AB9">
        <w:rPr>
          <w:rFonts w:ascii="Arial Narrow" w:hAnsi="Arial Narrow" w:cstheme="minorHAnsi"/>
        </w:rPr>
        <w:t xml:space="preserve">Slimnīca </w:t>
      </w:r>
      <w:r w:rsidRPr="00D25AB9">
        <w:rPr>
          <w:rFonts w:ascii="Arial Narrow" w:hAnsi="Arial Narrow" w:cstheme="minorHAnsi"/>
        </w:rPr>
        <w:t xml:space="preserve">ir iekļauta finansējuma saņēmēju sarakstā Eiropas Savienības Atveseļošanās un noturības mehānisma plāna investīciju 4.1.1.2.i. “Atbalsts universitātes un reģionālo slimnīcu veselības aprūpes infrastruktūras stiprināšanai, lai nodrošinātu visaptverošu ilgtspējīgu integrētu veselības pakalpojumu, mazinātu infekciju slimību izplatību, epidemioloģisko prasību nodrošināšanā” (Grozījumi Ministru kabineta 2022.gada 19.aprīļa noteikumos Nr. 254). </w:t>
      </w:r>
    </w:p>
    <w:p w14:paraId="324C9872" w14:textId="23909F33" w:rsidR="00273F7A" w:rsidRPr="00D25AB9" w:rsidRDefault="00E83E29" w:rsidP="00273F7A">
      <w:pPr>
        <w:pStyle w:val="NormalWeb"/>
        <w:spacing w:before="0" w:beforeAutospacing="0" w:after="80" w:afterAutospacing="0" w:line="276" w:lineRule="auto"/>
        <w:jc w:val="both"/>
        <w:rPr>
          <w:rFonts w:ascii="Arial Narrow" w:hAnsi="Arial Narrow" w:cstheme="minorHAnsi"/>
          <w:color w:val="000000"/>
        </w:rPr>
      </w:pPr>
      <w:r w:rsidRPr="00D25AB9">
        <w:rPr>
          <w:rFonts w:ascii="Arial Narrow" w:hAnsi="Arial Narrow" w:cstheme="minorHAnsi"/>
          <w:color w:val="000000"/>
        </w:rPr>
        <w:t xml:space="preserve">Pārskata periodā </w:t>
      </w:r>
      <w:r w:rsidR="00273F7A" w:rsidRPr="00D25AB9">
        <w:rPr>
          <w:rFonts w:ascii="Arial Narrow" w:hAnsi="Arial Narrow" w:cstheme="minorHAnsi"/>
          <w:color w:val="000000"/>
        </w:rPr>
        <w:t>Slimnīca iesniedza projekta iesniegumu “Ārstniecības ēkas Jūrmalas ielā 2, Liepājā (kadastra apzīmējums 1700 040 0213 031) infrastruktūras attīstība”</w:t>
      </w:r>
      <w:r w:rsidRPr="00D25AB9">
        <w:rPr>
          <w:rFonts w:ascii="Arial Narrow" w:hAnsi="Arial Narrow" w:cstheme="minorHAnsi"/>
          <w:color w:val="000000"/>
        </w:rPr>
        <w:t xml:space="preserve"> un projekta uzsākšana ir apstiprināta. 2025.gada 8. maijā ar Centrālo finanšu un līguma aģentūru ir Līgums par Eiropas Savienības Atveseļošanas fonda projekta </w:t>
      </w:r>
      <w:r w:rsidR="008F01FF" w:rsidRPr="00D25AB9">
        <w:rPr>
          <w:rFonts w:ascii="Arial Narrow" w:hAnsi="Arial Narrow" w:cstheme="minorHAnsi"/>
          <w:color w:val="000000"/>
        </w:rPr>
        <w:t>ieviešanu, Projekta Nr. 4.1.1.2.i.0/2/25/I/CFLA/003</w:t>
      </w:r>
      <w:r w:rsidR="00273F7A" w:rsidRPr="00D25AB9">
        <w:rPr>
          <w:rFonts w:ascii="Arial Narrow" w:hAnsi="Arial Narrow" w:cstheme="minorHAnsi"/>
          <w:color w:val="000000"/>
        </w:rPr>
        <w:t>.</w:t>
      </w:r>
    </w:p>
    <w:p w14:paraId="3F81102D" w14:textId="2FA4318A" w:rsidR="00273F7A" w:rsidRPr="00D25AB9" w:rsidRDefault="00273F7A" w:rsidP="00273F7A">
      <w:pPr>
        <w:pStyle w:val="NormalWeb"/>
        <w:spacing w:before="0" w:beforeAutospacing="0" w:after="80" w:afterAutospacing="0" w:line="276" w:lineRule="auto"/>
        <w:jc w:val="both"/>
        <w:rPr>
          <w:rFonts w:ascii="Arial Narrow" w:hAnsi="Arial Narrow" w:cstheme="minorHAnsi"/>
          <w:color w:val="000000"/>
        </w:rPr>
      </w:pPr>
      <w:r w:rsidRPr="00D25AB9">
        <w:rPr>
          <w:rFonts w:ascii="Arial Narrow" w:hAnsi="Arial Narrow" w:cstheme="minorHAnsi"/>
          <w:color w:val="000000"/>
        </w:rPr>
        <w:t>Projekta “Ārstniecības ēkas Jūrmalas ielā 2, Liepājā (kadastra apzīmējums 1700 040 0213 031) infrastruktūras attīstība” ietvaros paredzēts veikt būvprojekta izstrād</w:t>
      </w:r>
      <w:r w:rsidR="008F01FF" w:rsidRPr="00D25AB9">
        <w:rPr>
          <w:rFonts w:ascii="Arial Narrow" w:hAnsi="Arial Narrow" w:cstheme="minorHAnsi"/>
          <w:color w:val="000000"/>
        </w:rPr>
        <w:t>i</w:t>
      </w:r>
      <w:r w:rsidRPr="00D25AB9">
        <w:rPr>
          <w:rFonts w:ascii="Arial Narrow" w:hAnsi="Arial Narrow" w:cstheme="minorHAnsi"/>
          <w:color w:val="000000"/>
        </w:rPr>
        <w:t xml:space="preserve"> un būvniecīb</w:t>
      </w:r>
      <w:r w:rsidR="008F01FF" w:rsidRPr="00D25AB9">
        <w:rPr>
          <w:rFonts w:ascii="Arial Narrow" w:hAnsi="Arial Narrow" w:cstheme="minorHAnsi"/>
          <w:color w:val="000000"/>
        </w:rPr>
        <w:t xml:space="preserve">u, kā arī aprīkot telpas ar pamata </w:t>
      </w:r>
      <w:r w:rsidR="008F01FF" w:rsidRPr="00D25AB9">
        <w:rPr>
          <w:rFonts w:ascii="Arial Narrow" w:hAnsi="Arial Narrow" w:cstheme="minorHAnsi"/>
          <w:color w:val="000000"/>
        </w:rPr>
        <w:lastRenderedPageBreak/>
        <w:t>nepieciešamajām mēbelēm</w:t>
      </w:r>
      <w:r w:rsidRPr="00D25AB9">
        <w:rPr>
          <w:rFonts w:ascii="Arial Narrow" w:hAnsi="Arial Narrow" w:cstheme="minorHAnsi"/>
          <w:color w:val="000000"/>
        </w:rPr>
        <w:t xml:space="preserve">. Lai Slimnīca spētu realizēt investīciju projektu noteiktajos termiņos, nepieciešama nekavējoša un intensīva darbība projekta virzībai un ieviešanai. </w:t>
      </w:r>
    </w:p>
    <w:p w14:paraId="5556621E" w14:textId="53285D8D" w:rsidR="00273F7A" w:rsidRPr="00D25AB9" w:rsidRDefault="008F01FF" w:rsidP="00273F7A">
      <w:pPr>
        <w:pStyle w:val="NormalWeb"/>
        <w:spacing w:before="0" w:beforeAutospacing="0" w:after="80" w:afterAutospacing="0" w:line="276" w:lineRule="auto"/>
        <w:jc w:val="both"/>
        <w:rPr>
          <w:rFonts w:ascii="Arial Narrow" w:hAnsi="Arial Narrow" w:cstheme="minorHAnsi"/>
          <w:color w:val="000000"/>
        </w:rPr>
      </w:pPr>
      <w:r w:rsidRPr="00D25AB9">
        <w:rPr>
          <w:rFonts w:ascii="Arial Narrow" w:hAnsi="Arial Narrow" w:cstheme="minorHAnsi"/>
          <w:color w:val="000000"/>
        </w:rPr>
        <w:t>Pārskata periodā ir realizēta</w:t>
      </w:r>
      <w:r w:rsidR="00273F7A" w:rsidRPr="00D25AB9">
        <w:rPr>
          <w:rFonts w:ascii="Arial Narrow" w:hAnsi="Arial Narrow" w:cstheme="minorHAnsi"/>
          <w:color w:val="000000"/>
        </w:rPr>
        <w:t xml:space="preserve"> iepirkumu </w:t>
      </w:r>
      <w:r w:rsidRPr="00D25AB9">
        <w:rPr>
          <w:rFonts w:ascii="Arial Narrow" w:hAnsi="Arial Narrow" w:cstheme="minorHAnsi"/>
          <w:color w:val="000000"/>
        </w:rPr>
        <w:t xml:space="preserve">procedūra </w:t>
      </w:r>
      <w:r w:rsidR="00273F7A" w:rsidRPr="00D25AB9">
        <w:rPr>
          <w:rFonts w:ascii="Arial Narrow" w:hAnsi="Arial Narrow" w:cstheme="minorHAnsi"/>
          <w:color w:val="000000"/>
        </w:rPr>
        <w:t xml:space="preserve">– atklāts konkurss “Būvniecības ieceres dokumentācijas izstrāde, autoruzraudzība un būvdarbi ēkas Jūrmalas ielā 2, Liepājā (kadastra </w:t>
      </w:r>
      <w:proofErr w:type="spellStart"/>
      <w:r w:rsidR="00273F7A" w:rsidRPr="00D25AB9">
        <w:rPr>
          <w:rFonts w:ascii="Arial Narrow" w:hAnsi="Arial Narrow" w:cstheme="minorHAnsi"/>
          <w:color w:val="000000"/>
        </w:rPr>
        <w:t>apz</w:t>
      </w:r>
      <w:proofErr w:type="spellEnd"/>
      <w:r w:rsidR="00273F7A" w:rsidRPr="00D25AB9">
        <w:rPr>
          <w:rFonts w:ascii="Arial Narrow" w:hAnsi="Arial Narrow" w:cstheme="minorHAnsi"/>
          <w:color w:val="000000"/>
        </w:rPr>
        <w:t>. 17000400213031) atjaunošanai un pielāgošanai rehabilitācijas pakalpojumu sniegšanai”, iepirkuma identifikācijas Nr. PS 2025/3</w:t>
      </w:r>
      <w:r w:rsidRPr="00D25AB9">
        <w:rPr>
          <w:rFonts w:ascii="Arial Narrow" w:hAnsi="Arial Narrow" w:cstheme="minorHAnsi"/>
          <w:color w:val="000000"/>
        </w:rPr>
        <w:t xml:space="preserve">, kuras rezultātā 2025.gada 15.maijā ir noslēgts līgums par būvprojekta izstrādi, būvniecību un autoruzraudzību. </w:t>
      </w:r>
    </w:p>
    <w:p w14:paraId="6DFEF595" w14:textId="47845A31" w:rsidR="00273F7A" w:rsidRPr="00D25AB9" w:rsidRDefault="00D25AB9" w:rsidP="00273F7A">
      <w:pPr>
        <w:pStyle w:val="NormalWeb"/>
        <w:spacing w:before="0" w:beforeAutospacing="0" w:after="80" w:afterAutospacing="0" w:line="276" w:lineRule="auto"/>
        <w:jc w:val="both"/>
        <w:rPr>
          <w:rFonts w:ascii="Arial Narrow" w:hAnsi="Arial Narrow" w:cstheme="minorHAnsi"/>
          <w:color w:val="000000"/>
        </w:rPr>
      </w:pPr>
      <w:r w:rsidRPr="00D25AB9">
        <w:rPr>
          <w:rFonts w:ascii="Arial Narrow" w:hAnsi="Arial Narrow" w:cstheme="minorHAnsi"/>
        </w:rPr>
        <w:t>Slimnīca</w:t>
      </w:r>
      <w:r w:rsidRPr="00D25AB9">
        <w:rPr>
          <w:rFonts w:ascii="Arial Narrow" w:hAnsi="Arial Narrow" w:cstheme="minorHAnsi"/>
          <w:color w:val="000000"/>
        </w:rPr>
        <w:t xml:space="preserve">s </w:t>
      </w:r>
      <w:r w:rsidR="00273F7A" w:rsidRPr="00D25AB9">
        <w:rPr>
          <w:rFonts w:ascii="Arial Narrow" w:hAnsi="Arial Narrow" w:cstheme="minorHAnsi"/>
          <w:color w:val="000000"/>
        </w:rPr>
        <w:t>investīciju projekta kopējais budžets – 740 599,86 EUR, no tā valsts budžeta finansējums pievienotās vērtības nodokļu segšanai 128 533,86 EUR.</w:t>
      </w:r>
    </w:p>
    <w:p w14:paraId="41141F02" w14:textId="334E7BA1" w:rsidR="1370DCD1" w:rsidRDefault="00273F7A" w:rsidP="00273F7A">
      <w:pPr>
        <w:rPr>
          <w:rFonts w:ascii="Arial Narrow" w:hAnsi="Arial Narrow" w:cstheme="minorHAnsi"/>
        </w:rPr>
      </w:pPr>
      <w:r w:rsidRPr="00D25AB9">
        <w:rPr>
          <w:rFonts w:ascii="Arial Narrow" w:hAnsi="Arial Narrow" w:cstheme="minorHAnsi"/>
        </w:rPr>
        <w:t xml:space="preserve">Plānots realizēt projekta aktivitātes </w:t>
      </w:r>
      <w:r w:rsidR="00D25AB9" w:rsidRPr="00D25AB9">
        <w:rPr>
          <w:rFonts w:ascii="Arial Narrow" w:hAnsi="Arial Narrow" w:cstheme="minorHAnsi"/>
        </w:rPr>
        <w:t xml:space="preserve">līdz </w:t>
      </w:r>
      <w:r w:rsidRPr="00D25AB9">
        <w:rPr>
          <w:rFonts w:ascii="Arial Narrow" w:hAnsi="Arial Narrow" w:cstheme="minorHAnsi"/>
        </w:rPr>
        <w:t xml:space="preserve"> 2026.gad</w:t>
      </w:r>
      <w:r w:rsidR="00D25AB9" w:rsidRPr="00D25AB9">
        <w:rPr>
          <w:rFonts w:ascii="Arial Narrow" w:hAnsi="Arial Narrow" w:cstheme="minorHAnsi"/>
        </w:rPr>
        <w:t>a augustam.</w:t>
      </w:r>
    </w:p>
    <w:p w14:paraId="64E9A667" w14:textId="77777777" w:rsidR="00D25AB9" w:rsidRPr="00D25AB9" w:rsidRDefault="00D25AB9" w:rsidP="00273F7A">
      <w:pPr>
        <w:rPr>
          <w:rFonts w:ascii="Arial Narrow" w:hAnsi="Arial Narrow" w:cstheme="minorHAnsi"/>
          <w:color w:val="FF0000"/>
        </w:rPr>
      </w:pPr>
    </w:p>
    <w:p w14:paraId="766CA5FA" w14:textId="65700C49" w:rsidR="00C912BF" w:rsidRPr="00D25AB9" w:rsidRDefault="004B0054" w:rsidP="003D2257">
      <w:pPr>
        <w:pStyle w:val="Heading1"/>
        <w:rPr>
          <w:rStyle w:val="IntenseEmphasis"/>
          <w:rFonts w:ascii="Arial Narrow" w:hAnsi="Arial Narrow" w:cstheme="minorHAnsi"/>
          <w:b w:val="0"/>
          <w:bCs w:val="0"/>
          <w:caps/>
          <w:color w:val="FFFFFF" w:themeColor="background1"/>
          <w:spacing w:val="15"/>
        </w:rPr>
      </w:pPr>
      <w:r w:rsidRPr="00D25AB9">
        <w:rPr>
          <w:rStyle w:val="IntenseEmphasis"/>
          <w:rFonts w:ascii="Arial Narrow" w:hAnsi="Arial Narrow" w:cstheme="minorHAnsi"/>
          <w:b w:val="0"/>
          <w:bCs w:val="0"/>
          <w:caps/>
          <w:color w:val="FFFFFF" w:themeColor="background1"/>
          <w:spacing w:val="15"/>
        </w:rPr>
        <w:t>V</w:t>
      </w:r>
      <w:r w:rsidR="00C912BF" w:rsidRPr="00D25AB9">
        <w:rPr>
          <w:rStyle w:val="IntenseEmphasis"/>
          <w:rFonts w:ascii="Arial Narrow" w:hAnsi="Arial Narrow" w:cstheme="minorHAnsi"/>
          <w:b w:val="0"/>
          <w:bCs w:val="0"/>
          <w:caps/>
          <w:color w:val="FFFFFF" w:themeColor="background1"/>
          <w:spacing w:val="15"/>
        </w:rPr>
        <w:t>eselības aprūpe</w:t>
      </w:r>
    </w:p>
    <w:p w14:paraId="2BC45A85" w14:textId="4DF7542E" w:rsidR="00C932D2" w:rsidRPr="00D25AB9" w:rsidRDefault="00C932D2" w:rsidP="00C932D2">
      <w:pPr>
        <w:pStyle w:val="Heading2"/>
        <w:rPr>
          <w:rFonts w:ascii="Arial Narrow" w:hAnsi="Arial Narrow" w:cstheme="minorHAnsi"/>
        </w:rPr>
      </w:pPr>
      <w:r w:rsidRPr="00D25AB9">
        <w:rPr>
          <w:rFonts w:ascii="Arial Narrow" w:hAnsi="Arial Narrow" w:cstheme="minorHAnsi"/>
        </w:rPr>
        <w:t>Ambulatorā veselības aprūpe</w:t>
      </w:r>
    </w:p>
    <w:p w14:paraId="24653EF5" w14:textId="5B901C91" w:rsidR="00C932D2" w:rsidRPr="00D25AB9" w:rsidRDefault="00C932D2" w:rsidP="00C932D2">
      <w:pPr>
        <w:rPr>
          <w:rFonts w:ascii="Arial Narrow" w:hAnsi="Arial Narrow" w:cstheme="minorHAnsi"/>
        </w:rPr>
      </w:pPr>
      <w:r w:rsidRPr="00D25AB9">
        <w:rPr>
          <w:rFonts w:ascii="Arial Narrow" w:hAnsi="Arial Narrow" w:cstheme="minorHAnsi"/>
        </w:rPr>
        <w:t xml:space="preserve">Ambulatorās veselības aprūpes naturālo rādītāju kopsavilkums </w:t>
      </w:r>
      <w:r w:rsidR="00D25AB9">
        <w:rPr>
          <w:rFonts w:ascii="Arial Narrow" w:hAnsi="Arial Narrow" w:cstheme="minorHAnsi"/>
        </w:rPr>
        <w:t xml:space="preserve">par </w:t>
      </w:r>
      <w:r w:rsidRPr="00D25AB9">
        <w:rPr>
          <w:rFonts w:ascii="Arial Narrow" w:hAnsi="Arial Narrow" w:cstheme="minorHAnsi"/>
        </w:rPr>
        <w:t>202</w:t>
      </w:r>
      <w:r w:rsidR="00273F7A" w:rsidRPr="00D25AB9">
        <w:rPr>
          <w:rFonts w:ascii="Arial Narrow" w:hAnsi="Arial Narrow" w:cstheme="minorHAnsi"/>
        </w:rPr>
        <w:t>5</w:t>
      </w:r>
      <w:r w:rsidRPr="00D25AB9">
        <w:rPr>
          <w:rFonts w:ascii="Arial Narrow" w:hAnsi="Arial Narrow" w:cstheme="minorHAnsi"/>
        </w:rPr>
        <w:t>. gada</w:t>
      </w:r>
      <w:r w:rsidR="00273F7A" w:rsidRPr="00D25AB9">
        <w:rPr>
          <w:rFonts w:ascii="Arial Narrow" w:hAnsi="Arial Narrow" w:cstheme="minorHAnsi"/>
        </w:rPr>
        <w:t xml:space="preserve"> </w:t>
      </w:r>
      <w:r w:rsidR="007C31A4" w:rsidRPr="00D25AB9">
        <w:rPr>
          <w:rFonts w:ascii="Arial Narrow" w:hAnsi="Arial Narrow" w:cstheme="minorHAnsi"/>
        </w:rPr>
        <w:t>seš</w:t>
      </w:r>
      <w:r w:rsidR="00083F66">
        <w:rPr>
          <w:rFonts w:ascii="Arial Narrow" w:hAnsi="Arial Narrow" w:cstheme="minorHAnsi"/>
        </w:rPr>
        <w:t>iem</w:t>
      </w:r>
      <w:r w:rsidR="007C31A4" w:rsidRPr="00D25AB9">
        <w:rPr>
          <w:rFonts w:ascii="Arial Narrow" w:hAnsi="Arial Narrow" w:cstheme="minorHAnsi"/>
        </w:rPr>
        <w:t xml:space="preserve"> mēneš</w:t>
      </w:r>
      <w:r w:rsidR="00083F66">
        <w:rPr>
          <w:rFonts w:ascii="Arial Narrow" w:hAnsi="Arial Narrow" w:cstheme="minorHAnsi"/>
        </w:rPr>
        <w:t>iem</w:t>
      </w:r>
      <w:r w:rsidRPr="00D25AB9">
        <w:rPr>
          <w:rFonts w:ascii="Arial Narrow" w:hAnsi="Arial Narrow" w:cstheme="minorHAnsi"/>
        </w:rPr>
        <w:t>:</w:t>
      </w:r>
    </w:p>
    <w:tbl>
      <w:tblPr>
        <w:tblStyle w:val="GridTable1Light-Accent2"/>
        <w:tblW w:w="9493" w:type="dxa"/>
        <w:tblLayout w:type="fixed"/>
        <w:tblLook w:val="04A0" w:firstRow="1" w:lastRow="0" w:firstColumn="1" w:lastColumn="0" w:noHBand="0" w:noVBand="1"/>
      </w:tblPr>
      <w:tblGrid>
        <w:gridCol w:w="5240"/>
        <w:gridCol w:w="2126"/>
        <w:gridCol w:w="2127"/>
      </w:tblGrid>
      <w:tr w:rsidR="00C932D2" w:rsidRPr="00D25AB9" w14:paraId="29F711F4" w14:textId="77777777" w:rsidTr="00074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7A13EF2" w14:textId="77777777" w:rsidR="00C932D2" w:rsidRPr="00D25AB9" w:rsidRDefault="00C932D2" w:rsidP="00847992">
            <w:pPr>
              <w:spacing w:before="40" w:after="40"/>
              <w:rPr>
                <w:rFonts w:ascii="Arial Narrow" w:hAnsi="Arial Narrow" w:cstheme="minorHAnsi"/>
                <w:sz w:val="22"/>
                <w:szCs w:val="22"/>
              </w:rPr>
            </w:pPr>
            <w:r w:rsidRPr="00D25AB9">
              <w:rPr>
                <w:rFonts w:ascii="Arial Narrow" w:hAnsi="Arial Narrow" w:cstheme="minorHAnsi"/>
                <w:sz w:val="22"/>
                <w:szCs w:val="22"/>
              </w:rPr>
              <w:t>Rādītāji</w:t>
            </w:r>
          </w:p>
        </w:tc>
        <w:tc>
          <w:tcPr>
            <w:tcW w:w="2126" w:type="dxa"/>
          </w:tcPr>
          <w:p w14:paraId="0FF89E96" w14:textId="77777777" w:rsidR="00C932D2" w:rsidRPr="00D25AB9" w:rsidRDefault="00C932D2" w:rsidP="0084799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Plāns</w:t>
            </w:r>
          </w:p>
        </w:tc>
        <w:tc>
          <w:tcPr>
            <w:tcW w:w="2127" w:type="dxa"/>
          </w:tcPr>
          <w:p w14:paraId="4FE89DB5" w14:textId="77777777" w:rsidR="00C932D2" w:rsidRPr="00D25AB9" w:rsidRDefault="00C932D2" w:rsidP="0084799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Izpilde</w:t>
            </w:r>
          </w:p>
        </w:tc>
      </w:tr>
      <w:tr w:rsidR="00C932D2" w:rsidRPr="00D25AB9" w14:paraId="160D136B" w14:textId="77777777" w:rsidTr="000746AD">
        <w:trPr>
          <w:trHeight w:val="70"/>
        </w:trPr>
        <w:tc>
          <w:tcPr>
            <w:cnfStyle w:val="001000000000" w:firstRow="0" w:lastRow="0" w:firstColumn="1" w:lastColumn="0" w:oddVBand="0" w:evenVBand="0" w:oddHBand="0" w:evenHBand="0" w:firstRowFirstColumn="0" w:firstRowLastColumn="0" w:lastRowFirstColumn="0" w:lastRowLastColumn="0"/>
            <w:tcW w:w="5240" w:type="dxa"/>
          </w:tcPr>
          <w:p w14:paraId="01002845" w14:textId="77777777" w:rsidR="00C932D2" w:rsidRPr="00D25AB9" w:rsidRDefault="00C932D2"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Ambulatoro apmeklējumu skaits, t.sk.</w:t>
            </w:r>
          </w:p>
        </w:tc>
        <w:tc>
          <w:tcPr>
            <w:tcW w:w="2126" w:type="dxa"/>
          </w:tcPr>
          <w:p w14:paraId="7E157EC2" w14:textId="21AF7831" w:rsidR="00C932D2" w:rsidRPr="00D25AB9" w:rsidRDefault="002D4957"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12770</w:t>
            </w:r>
          </w:p>
        </w:tc>
        <w:tc>
          <w:tcPr>
            <w:tcW w:w="2127" w:type="dxa"/>
          </w:tcPr>
          <w:p w14:paraId="19ACD250" w14:textId="33DD4FC3" w:rsidR="00C932D2" w:rsidRPr="00D25AB9" w:rsidRDefault="002D4957"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13091</w:t>
            </w:r>
          </w:p>
        </w:tc>
      </w:tr>
      <w:tr w:rsidR="00C932D2" w:rsidRPr="00D25AB9" w14:paraId="7891ADDE" w14:textId="77777777" w:rsidTr="000746AD">
        <w:trPr>
          <w:trHeight w:val="70"/>
        </w:trPr>
        <w:tc>
          <w:tcPr>
            <w:cnfStyle w:val="001000000000" w:firstRow="0" w:lastRow="0" w:firstColumn="1" w:lastColumn="0" w:oddVBand="0" w:evenVBand="0" w:oddHBand="0" w:evenHBand="0" w:firstRowFirstColumn="0" w:firstRowLastColumn="0" w:lastRowFirstColumn="0" w:lastRowLastColumn="0"/>
            <w:tcW w:w="5240" w:type="dxa"/>
          </w:tcPr>
          <w:p w14:paraId="0EAEA6DF" w14:textId="77777777" w:rsidR="00C932D2" w:rsidRPr="00D25AB9" w:rsidRDefault="00C932D2" w:rsidP="00847992">
            <w:pPr>
              <w:spacing w:before="40" w:after="40"/>
              <w:jc w:val="right"/>
              <w:rPr>
                <w:rFonts w:ascii="Arial Narrow" w:hAnsi="Arial Narrow" w:cstheme="minorHAnsi"/>
                <w:b w:val="0"/>
                <w:bCs w:val="0"/>
                <w:i/>
                <w:iCs/>
                <w:sz w:val="22"/>
                <w:szCs w:val="22"/>
              </w:rPr>
            </w:pPr>
            <w:r w:rsidRPr="00D25AB9">
              <w:rPr>
                <w:rFonts w:ascii="Arial Narrow" w:hAnsi="Arial Narrow" w:cstheme="minorHAnsi"/>
                <w:b w:val="0"/>
                <w:bCs w:val="0"/>
                <w:i/>
                <w:iCs/>
                <w:sz w:val="22"/>
                <w:szCs w:val="22"/>
              </w:rPr>
              <w:t>dienas stacionārā</w:t>
            </w:r>
          </w:p>
        </w:tc>
        <w:tc>
          <w:tcPr>
            <w:tcW w:w="2126" w:type="dxa"/>
          </w:tcPr>
          <w:p w14:paraId="5D4478ED" w14:textId="56F41EF3" w:rsidR="00C932D2" w:rsidRPr="00D25AB9" w:rsidRDefault="002D4957"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iCs/>
                <w:sz w:val="22"/>
                <w:szCs w:val="22"/>
              </w:rPr>
            </w:pPr>
            <w:r w:rsidRPr="00D25AB9">
              <w:rPr>
                <w:rFonts w:ascii="Arial Narrow" w:hAnsi="Arial Narrow" w:cstheme="minorHAnsi"/>
                <w:i/>
                <w:iCs/>
                <w:sz w:val="22"/>
                <w:szCs w:val="22"/>
              </w:rPr>
              <w:t>5500</w:t>
            </w:r>
          </w:p>
        </w:tc>
        <w:tc>
          <w:tcPr>
            <w:tcW w:w="2127" w:type="dxa"/>
          </w:tcPr>
          <w:p w14:paraId="26DFF39E" w14:textId="446C7FCF" w:rsidR="00C932D2" w:rsidRPr="00D25AB9" w:rsidRDefault="002D4957"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iCs/>
                <w:sz w:val="22"/>
                <w:szCs w:val="22"/>
              </w:rPr>
            </w:pPr>
            <w:r w:rsidRPr="00D25AB9">
              <w:rPr>
                <w:rFonts w:ascii="Arial Narrow" w:hAnsi="Arial Narrow" w:cstheme="minorHAnsi"/>
                <w:i/>
                <w:iCs/>
                <w:sz w:val="22"/>
                <w:szCs w:val="22"/>
              </w:rPr>
              <w:t>5491</w:t>
            </w:r>
          </w:p>
        </w:tc>
      </w:tr>
      <w:tr w:rsidR="00C932D2" w:rsidRPr="00D25AB9" w14:paraId="04999DE1" w14:textId="77777777" w:rsidTr="000746AD">
        <w:trPr>
          <w:trHeight w:val="70"/>
        </w:trPr>
        <w:tc>
          <w:tcPr>
            <w:cnfStyle w:val="001000000000" w:firstRow="0" w:lastRow="0" w:firstColumn="1" w:lastColumn="0" w:oddVBand="0" w:evenVBand="0" w:oddHBand="0" w:evenHBand="0" w:firstRowFirstColumn="0" w:firstRowLastColumn="0" w:lastRowFirstColumn="0" w:lastRowLastColumn="0"/>
            <w:tcW w:w="5240" w:type="dxa"/>
          </w:tcPr>
          <w:p w14:paraId="07C803B4" w14:textId="77777777" w:rsidR="00C932D2" w:rsidRPr="00D25AB9" w:rsidRDefault="00C932D2"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Vidējais gultu skaits dienas stacionārā</w:t>
            </w:r>
          </w:p>
        </w:tc>
        <w:tc>
          <w:tcPr>
            <w:tcW w:w="2126" w:type="dxa"/>
          </w:tcPr>
          <w:p w14:paraId="1F42D327" w14:textId="77777777" w:rsidR="00C932D2" w:rsidRPr="00D25AB9" w:rsidRDefault="00C932D2"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60</w:t>
            </w:r>
          </w:p>
        </w:tc>
        <w:tc>
          <w:tcPr>
            <w:tcW w:w="2127" w:type="dxa"/>
          </w:tcPr>
          <w:p w14:paraId="61AB52F0" w14:textId="77777777" w:rsidR="00C932D2" w:rsidRPr="00D25AB9" w:rsidRDefault="00C932D2"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60</w:t>
            </w:r>
          </w:p>
        </w:tc>
      </w:tr>
      <w:tr w:rsidR="00C932D2" w:rsidRPr="00D25AB9" w14:paraId="375BA86F" w14:textId="77777777" w:rsidTr="000746AD">
        <w:trPr>
          <w:trHeight w:val="70"/>
        </w:trPr>
        <w:tc>
          <w:tcPr>
            <w:cnfStyle w:val="001000000000" w:firstRow="0" w:lastRow="0" w:firstColumn="1" w:lastColumn="0" w:oddVBand="0" w:evenVBand="0" w:oddHBand="0" w:evenHBand="0" w:firstRowFirstColumn="0" w:firstRowLastColumn="0" w:lastRowFirstColumn="0" w:lastRowLastColumn="0"/>
            <w:tcW w:w="5240" w:type="dxa"/>
          </w:tcPr>
          <w:p w14:paraId="144A684E" w14:textId="77777777" w:rsidR="00C932D2" w:rsidRPr="00D25AB9" w:rsidRDefault="00C932D2"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Vidējais gultu noslogojums dienas stacionārā, %</w:t>
            </w:r>
          </w:p>
        </w:tc>
        <w:tc>
          <w:tcPr>
            <w:tcW w:w="2126" w:type="dxa"/>
          </w:tcPr>
          <w:p w14:paraId="05902838" w14:textId="6E33FBFB" w:rsidR="00C932D2" w:rsidRPr="00D25AB9" w:rsidRDefault="002D4957"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75,14</w:t>
            </w:r>
          </w:p>
        </w:tc>
        <w:tc>
          <w:tcPr>
            <w:tcW w:w="2127" w:type="dxa"/>
          </w:tcPr>
          <w:p w14:paraId="0663A272" w14:textId="5C15B0BE" w:rsidR="00C932D2" w:rsidRPr="00D25AB9" w:rsidRDefault="002D4957"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75,01</w:t>
            </w:r>
          </w:p>
        </w:tc>
      </w:tr>
    </w:tbl>
    <w:p w14:paraId="45A745E0" w14:textId="1246EFAB" w:rsidR="00C912BF" w:rsidRPr="00D25AB9" w:rsidRDefault="00C912BF" w:rsidP="00131E43">
      <w:pPr>
        <w:rPr>
          <w:rFonts w:ascii="Arial Narrow" w:hAnsi="Arial Narrow" w:cstheme="minorHAnsi"/>
        </w:rPr>
      </w:pPr>
      <w:r w:rsidRPr="00D25AB9">
        <w:rPr>
          <w:rFonts w:ascii="Arial Narrow" w:hAnsi="Arial Narrow" w:cstheme="minorHAnsi"/>
        </w:rPr>
        <w:t xml:space="preserve">Pārskata periodā kopējais ambulatoro apmeklējumu skaits bija </w:t>
      </w:r>
      <w:r w:rsidR="002D4957" w:rsidRPr="00D25AB9">
        <w:rPr>
          <w:rFonts w:ascii="Arial Narrow" w:hAnsi="Arial Narrow" w:cstheme="minorHAnsi"/>
        </w:rPr>
        <w:t>13 091</w:t>
      </w:r>
      <w:r w:rsidRPr="00D25AB9">
        <w:rPr>
          <w:rFonts w:ascii="Arial Narrow" w:hAnsi="Arial Narrow" w:cstheme="minorHAnsi"/>
        </w:rPr>
        <w:t xml:space="preserve">, </w:t>
      </w:r>
      <w:r w:rsidR="003D2257" w:rsidRPr="00D25AB9">
        <w:rPr>
          <w:rFonts w:ascii="Arial Narrow" w:hAnsi="Arial Narrow" w:cstheme="minorHAnsi"/>
        </w:rPr>
        <w:t xml:space="preserve">no tiem </w:t>
      </w:r>
      <w:r w:rsidR="002D4957" w:rsidRPr="00D25AB9">
        <w:rPr>
          <w:rFonts w:ascii="Arial Narrow" w:hAnsi="Arial Narrow" w:cstheme="minorHAnsi"/>
        </w:rPr>
        <w:t>41,94</w:t>
      </w:r>
      <w:r w:rsidRPr="00D25AB9">
        <w:rPr>
          <w:rFonts w:ascii="Arial Narrow" w:hAnsi="Arial Narrow" w:cstheme="minorHAnsi"/>
        </w:rPr>
        <w:t xml:space="preserve"> % jeb </w:t>
      </w:r>
      <w:r w:rsidR="002D4957" w:rsidRPr="00D25AB9">
        <w:rPr>
          <w:rFonts w:ascii="Arial Narrow" w:hAnsi="Arial Narrow" w:cstheme="minorHAnsi"/>
        </w:rPr>
        <w:t>5491</w:t>
      </w:r>
      <w:r w:rsidRPr="00D25AB9">
        <w:rPr>
          <w:rFonts w:ascii="Arial Narrow" w:hAnsi="Arial Narrow" w:cstheme="minorHAnsi"/>
        </w:rPr>
        <w:t xml:space="preserve"> apmeklējumi bijuši dienas stacionārā. Vidējais gultu noslogojums dienas stacionārā </w:t>
      </w:r>
      <w:r w:rsidR="002D4957" w:rsidRPr="00D25AB9">
        <w:rPr>
          <w:rFonts w:ascii="Arial Narrow" w:hAnsi="Arial Narrow" w:cstheme="minorHAnsi"/>
        </w:rPr>
        <w:t>75,01</w:t>
      </w:r>
      <w:r w:rsidRPr="00D25AB9">
        <w:rPr>
          <w:rFonts w:ascii="Arial Narrow" w:hAnsi="Arial Narrow" w:cstheme="minorHAnsi"/>
        </w:rPr>
        <w:t xml:space="preserve">%. </w:t>
      </w:r>
    </w:p>
    <w:p w14:paraId="0AFBE8AD" w14:textId="21A5B7E1" w:rsidR="282F2BB0" w:rsidRPr="00D25AB9" w:rsidRDefault="69630B24">
      <w:pPr>
        <w:rPr>
          <w:rFonts w:ascii="Arial Narrow" w:hAnsi="Arial Narrow" w:cstheme="minorHAnsi"/>
        </w:rPr>
      </w:pPr>
      <w:r w:rsidRPr="00D25AB9">
        <w:rPr>
          <w:rFonts w:ascii="Arial Narrow" w:hAnsi="Arial Narrow" w:cstheme="minorHAnsi"/>
        </w:rPr>
        <w:t xml:space="preserve">Ambulatorā veselības aprūpe ir tendēta uz </w:t>
      </w:r>
      <w:proofErr w:type="spellStart"/>
      <w:r w:rsidRPr="00D25AB9">
        <w:rPr>
          <w:rFonts w:ascii="Arial Narrow" w:hAnsi="Arial Narrow" w:cstheme="minorHAnsi"/>
        </w:rPr>
        <w:t>multiprofesionālu</w:t>
      </w:r>
      <w:proofErr w:type="spellEnd"/>
      <w:r w:rsidRPr="00D25AB9">
        <w:rPr>
          <w:rFonts w:ascii="Arial Narrow" w:hAnsi="Arial Narrow" w:cstheme="minorHAnsi"/>
        </w:rPr>
        <w:t xml:space="preserve"> pieeju un psihiatrisko rehabilitāciju, ko pierāda salīdzinoši lielais dienas stacionāra apmeklējumu īpatsvars ambulatorajā etapā. Savukārt, ievērojot mūsdienīgas psihiatriskās aprūpes vadlīnijas un Nacionālā veselības dienesta</w:t>
      </w:r>
      <w:r w:rsidR="00083F66">
        <w:rPr>
          <w:rFonts w:ascii="Arial Narrow" w:hAnsi="Arial Narrow" w:cstheme="minorHAnsi"/>
        </w:rPr>
        <w:t xml:space="preserve"> (turpmāk tekstā – NVD)</w:t>
      </w:r>
      <w:r w:rsidRPr="00D25AB9">
        <w:rPr>
          <w:rFonts w:ascii="Arial Narrow" w:hAnsi="Arial Narrow" w:cstheme="minorHAnsi"/>
        </w:rPr>
        <w:t xml:space="preserve"> līguma nosacījumus, pacientu īpatsvars, kas dienas stacionāra ietvaros saņem </w:t>
      </w:r>
      <w:proofErr w:type="spellStart"/>
      <w:r w:rsidRPr="00D25AB9">
        <w:rPr>
          <w:rFonts w:ascii="Arial Narrow" w:hAnsi="Arial Narrow" w:cstheme="minorHAnsi"/>
        </w:rPr>
        <w:t>multiprofesionālu</w:t>
      </w:r>
      <w:proofErr w:type="spellEnd"/>
      <w:r w:rsidRPr="00D25AB9">
        <w:rPr>
          <w:rFonts w:ascii="Arial Narrow" w:hAnsi="Arial Narrow" w:cstheme="minorHAnsi"/>
        </w:rPr>
        <w:t xml:space="preserve"> rehabilitāciju ar vai bez medikamentozās terapijas tuvojas 100 %.  Vidējo gultu noslogojumu </w:t>
      </w:r>
      <w:r w:rsidR="00083F66">
        <w:rPr>
          <w:rFonts w:ascii="Arial Narrow" w:hAnsi="Arial Narrow" w:cstheme="minorHAnsi"/>
        </w:rPr>
        <w:t xml:space="preserve">dienas </w:t>
      </w:r>
      <w:r w:rsidRPr="00D25AB9">
        <w:rPr>
          <w:rFonts w:ascii="Arial Narrow" w:hAnsi="Arial Narrow" w:cstheme="minorHAnsi"/>
        </w:rPr>
        <w:t>stacionārā nosaka</w:t>
      </w:r>
      <w:r w:rsidR="00083F66">
        <w:rPr>
          <w:rFonts w:ascii="Arial Narrow" w:hAnsi="Arial Narrow" w:cstheme="minorHAnsi"/>
        </w:rPr>
        <w:t xml:space="preserve"> NVD finansējuma – kvotu apjoms un</w:t>
      </w:r>
      <w:r w:rsidRPr="00D25AB9">
        <w:rPr>
          <w:rFonts w:ascii="Arial Narrow" w:hAnsi="Arial Narrow" w:cstheme="minorHAnsi"/>
        </w:rPr>
        <w:t xml:space="preserve"> </w:t>
      </w:r>
      <w:proofErr w:type="spellStart"/>
      <w:r w:rsidRPr="00D25AB9">
        <w:rPr>
          <w:rFonts w:ascii="Arial Narrow" w:hAnsi="Arial Narrow" w:cstheme="minorHAnsi"/>
        </w:rPr>
        <w:t>multiprofesionālās</w:t>
      </w:r>
      <w:proofErr w:type="spellEnd"/>
      <w:r w:rsidRPr="00D25AB9">
        <w:rPr>
          <w:rFonts w:ascii="Arial Narrow" w:hAnsi="Arial Narrow" w:cstheme="minorHAnsi"/>
        </w:rPr>
        <w:t xml:space="preserve"> komandas kapacitāte, t.i., iespēja katram no dienas stacionārā esošajiem pacientiem saņemt ne tikai psihiatrisku un medicīnisku palīdzību, bet vienlaicīgi - arī psihologu un funkcionālo speciālistu sesijas.</w:t>
      </w:r>
      <w:r w:rsidR="00083F66">
        <w:rPr>
          <w:rFonts w:ascii="Arial Narrow" w:hAnsi="Arial Narrow" w:cstheme="minorHAnsi"/>
        </w:rPr>
        <w:t xml:space="preserve"> </w:t>
      </w:r>
      <w:r w:rsidR="00083F66" w:rsidRPr="002B3AD7">
        <w:rPr>
          <w:rFonts w:ascii="Arial Narrow" w:hAnsi="Arial Narrow" w:cstheme="minorHAnsi"/>
        </w:rPr>
        <w:t xml:space="preserve">Dienas stacionāra pakalpojumi ir sniegti visa NVD finansējuma apjomā un uz </w:t>
      </w:r>
      <w:r w:rsidR="000F5F44" w:rsidRPr="002B3AD7">
        <w:rPr>
          <w:rFonts w:ascii="Arial Narrow" w:hAnsi="Arial Narrow" w:cstheme="minorHAnsi"/>
        </w:rPr>
        <w:t>30</w:t>
      </w:r>
      <w:r w:rsidR="00083F66" w:rsidRPr="002B3AD7">
        <w:rPr>
          <w:rFonts w:ascii="Arial Narrow" w:hAnsi="Arial Narrow" w:cstheme="minorHAnsi"/>
        </w:rPr>
        <w:t>.</w:t>
      </w:r>
      <w:r w:rsidR="000F5F44" w:rsidRPr="002B3AD7">
        <w:rPr>
          <w:rFonts w:ascii="Arial Narrow" w:hAnsi="Arial Narrow" w:cstheme="minorHAnsi"/>
        </w:rPr>
        <w:t>06</w:t>
      </w:r>
      <w:r w:rsidR="00083F66" w:rsidRPr="002B3AD7">
        <w:rPr>
          <w:rFonts w:ascii="Arial Narrow" w:hAnsi="Arial Narrow" w:cstheme="minorHAnsi"/>
        </w:rPr>
        <w:t xml:space="preserve">.2025. ir fiksēta pārstrāde </w:t>
      </w:r>
      <w:r w:rsidR="000F5F44" w:rsidRPr="002B3AD7">
        <w:rPr>
          <w:rFonts w:ascii="Arial Narrow" w:hAnsi="Arial Narrow" w:cstheme="minorHAnsi"/>
        </w:rPr>
        <w:t>11 079</w:t>
      </w:r>
      <w:r w:rsidR="00083F66" w:rsidRPr="002B3AD7">
        <w:rPr>
          <w:rFonts w:ascii="Arial Narrow" w:hAnsi="Arial Narrow" w:cstheme="minorHAnsi"/>
        </w:rPr>
        <w:t xml:space="preserve"> EUR.</w:t>
      </w:r>
      <w:r w:rsidR="00083F66">
        <w:rPr>
          <w:rFonts w:ascii="Arial Narrow" w:hAnsi="Arial Narrow" w:cstheme="minorHAnsi"/>
        </w:rPr>
        <w:t xml:space="preserve"> </w:t>
      </w:r>
      <w:r w:rsidRPr="00D25AB9">
        <w:rPr>
          <w:rFonts w:ascii="Arial Narrow" w:hAnsi="Arial Narrow" w:cstheme="minorHAnsi"/>
        </w:rPr>
        <w:t xml:space="preserve"> </w:t>
      </w:r>
    </w:p>
    <w:p w14:paraId="3ECA859B" w14:textId="1AF034D4" w:rsidR="00C932D2" w:rsidRPr="00D25AB9" w:rsidRDefault="00C932D2" w:rsidP="00C932D2">
      <w:pPr>
        <w:pStyle w:val="Heading2"/>
        <w:rPr>
          <w:rFonts w:ascii="Arial Narrow" w:hAnsi="Arial Narrow" w:cstheme="minorHAnsi"/>
        </w:rPr>
      </w:pPr>
      <w:r w:rsidRPr="00D25AB9">
        <w:rPr>
          <w:rFonts w:ascii="Arial Narrow" w:hAnsi="Arial Narrow" w:cstheme="minorHAnsi"/>
        </w:rPr>
        <w:t>Stacionārā veselības aprūpe</w:t>
      </w:r>
    </w:p>
    <w:p w14:paraId="21A11D76" w14:textId="10FB4074" w:rsidR="00C912BF" w:rsidRPr="00D25AB9" w:rsidRDefault="00C912BF" w:rsidP="00131E43">
      <w:pPr>
        <w:rPr>
          <w:rFonts w:ascii="Arial Narrow" w:hAnsi="Arial Narrow" w:cstheme="minorHAnsi"/>
        </w:rPr>
      </w:pPr>
      <w:r w:rsidRPr="00D25AB9">
        <w:rPr>
          <w:rFonts w:ascii="Arial Narrow" w:hAnsi="Arial Narrow" w:cstheme="minorHAnsi"/>
        </w:rPr>
        <w:t>Stacionāra</w:t>
      </w:r>
      <w:r w:rsidR="00C932D2" w:rsidRPr="00D25AB9">
        <w:rPr>
          <w:rFonts w:ascii="Arial Narrow" w:hAnsi="Arial Narrow" w:cstheme="minorHAnsi"/>
        </w:rPr>
        <w:t xml:space="preserve"> veselības aprūpes naturālo</w:t>
      </w:r>
      <w:r w:rsidRPr="00D25AB9">
        <w:rPr>
          <w:rFonts w:ascii="Arial Narrow" w:hAnsi="Arial Narrow" w:cstheme="minorHAnsi"/>
        </w:rPr>
        <w:t xml:space="preserve"> rādītāju kopsavilkums 202</w:t>
      </w:r>
      <w:r w:rsidR="00217290" w:rsidRPr="00D25AB9">
        <w:rPr>
          <w:rFonts w:ascii="Arial Narrow" w:hAnsi="Arial Narrow" w:cstheme="minorHAnsi"/>
        </w:rPr>
        <w:t>5</w:t>
      </w:r>
      <w:r w:rsidRPr="00D25AB9">
        <w:rPr>
          <w:rFonts w:ascii="Arial Narrow" w:hAnsi="Arial Narrow" w:cstheme="minorHAnsi"/>
        </w:rPr>
        <w:t>. gada</w:t>
      </w:r>
      <w:r w:rsidR="00217290" w:rsidRPr="00D25AB9">
        <w:rPr>
          <w:rFonts w:ascii="Arial Narrow" w:hAnsi="Arial Narrow" w:cstheme="minorHAnsi"/>
        </w:rPr>
        <w:t xml:space="preserve"> </w:t>
      </w:r>
      <w:r w:rsidR="002D4957" w:rsidRPr="00D25AB9">
        <w:rPr>
          <w:rFonts w:ascii="Arial Narrow" w:hAnsi="Arial Narrow" w:cstheme="minorHAnsi"/>
        </w:rPr>
        <w:t>sešos mēnešos</w:t>
      </w:r>
      <w:r w:rsidR="003D2257" w:rsidRPr="00D25AB9">
        <w:rPr>
          <w:rFonts w:ascii="Arial Narrow" w:hAnsi="Arial Narrow" w:cstheme="minorHAnsi"/>
        </w:rPr>
        <w:t>:</w:t>
      </w:r>
      <w:r w:rsidRPr="00D25AB9">
        <w:rPr>
          <w:rFonts w:ascii="Arial Narrow" w:hAnsi="Arial Narrow" w:cstheme="minorHAnsi"/>
        </w:rPr>
        <w:tab/>
      </w:r>
      <w:r w:rsidRPr="00D25AB9">
        <w:rPr>
          <w:rFonts w:ascii="Arial Narrow" w:hAnsi="Arial Narrow" w:cstheme="minorHAnsi"/>
        </w:rPr>
        <w:tab/>
      </w:r>
    </w:p>
    <w:tbl>
      <w:tblPr>
        <w:tblStyle w:val="GridTable1Light-Accent2"/>
        <w:tblW w:w="9493" w:type="dxa"/>
        <w:tblLayout w:type="fixed"/>
        <w:tblLook w:val="04A0" w:firstRow="1" w:lastRow="0" w:firstColumn="1" w:lastColumn="0" w:noHBand="0" w:noVBand="1"/>
      </w:tblPr>
      <w:tblGrid>
        <w:gridCol w:w="5098"/>
        <w:gridCol w:w="2197"/>
        <w:gridCol w:w="2198"/>
      </w:tblGrid>
      <w:tr w:rsidR="00F50B00" w:rsidRPr="00D25AB9" w14:paraId="1B78B6CF" w14:textId="77777777" w:rsidTr="69630B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28B1801" w14:textId="4B289CD7" w:rsidR="00F50B00" w:rsidRPr="00D25AB9" w:rsidRDefault="00F50B00" w:rsidP="00A179B3">
            <w:pPr>
              <w:spacing w:before="40" w:after="40"/>
              <w:rPr>
                <w:rFonts w:ascii="Arial Narrow" w:hAnsi="Arial Narrow" w:cstheme="minorHAnsi"/>
                <w:sz w:val="22"/>
                <w:szCs w:val="22"/>
              </w:rPr>
            </w:pPr>
            <w:r w:rsidRPr="00D25AB9">
              <w:rPr>
                <w:rFonts w:ascii="Arial Narrow" w:hAnsi="Arial Narrow" w:cstheme="minorHAnsi"/>
                <w:sz w:val="22"/>
                <w:szCs w:val="22"/>
              </w:rPr>
              <w:t>Rādītāji</w:t>
            </w:r>
          </w:p>
        </w:tc>
        <w:tc>
          <w:tcPr>
            <w:tcW w:w="2197" w:type="dxa"/>
          </w:tcPr>
          <w:p w14:paraId="6D24B128" w14:textId="0F104879" w:rsidR="00F50B00" w:rsidRPr="00D25AB9" w:rsidRDefault="00F50B00" w:rsidP="00F50B0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Plāns</w:t>
            </w:r>
          </w:p>
        </w:tc>
        <w:tc>
          <w:tcPr>
            <w:tcW w:w="2198" w:type="dxa"/>
          </w:tcPr>
          <w:p w14:paraId="33AD40B8" w14:textId="1D7173DF" w:rsidR="00F50B00" w:rsidRPr="00D25AB9" w:rsidRDefault="00F50B00" w:rsidP="00F50B0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Izpilde</w:t>
            </w:r>
          </w:p>
        </w:tc>
      </w:tr>
      <w:tr w:rsidR="00F50B00" w:rsidRPr="00D25AB9" w14:paraId="02D45B08" w14:textId="77777777" w:rsidTr="69630B24">
        <w:trPr>
          <w:trHeight w:val="70"/>
        </w:trPr>
        <w:tc>
          <w:tcPr>
            <w:cnfStyle w:val="001000000000" w:firstRow="0" w:lastRow="0" w:firstColumn="1" w:lastColumn="0" w:oddVBand="0" w:evenVBand="0" w:oddHBand="0" w:evenHBand="0" w:firstRowFirstColumn="0" w:firstRowLastColumn="0" w:lastRowFirstColumn="0" w:lastRowLastColumn="0"/>
            <w:tcW w:w="5098" w:type="dxa"/>
          </w:tcPr>
          <w:p w14:paraId="5584EF1A" w14:textId="4377D4B5" w:rsidR="00F50B00" w:rsidRPr="00D25AB9" w:rsidRDefault="00F50B00" w:rsidP="00F50B00">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Kopējais pacientu skaits, t.sk.:</w:t>
            </w:r>
          </w:p>
        </w:tc>
        <w:tc>
          <w:tcPr>
            <w:tcW w:w="2197" w:type="dxa"/>
          </w:tcPr>
          <w:p w14:paraId="67D5A10B" w14:textId="3D18AD1D"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883</w:t>
            </w:r>
          </w:p>
        </w:tc>
        <w:tc>
          <w:tcPr>
            <w:tcW w:w="2198" w:type="dxa"/>
          </w:tcPr>
          <w:p w14:paraId="099012B8" w14:textId="724ED58F"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923</w:t>
            </w:r>
          </w:p>
        </w:tc>
      </w:tr>
      <w:tr w:rsidR="00F50B00" w:rsidRPr="00D25AB9" w14:paraId="20449DDA" w14:textId="77777777" w:rsidTr="69630B24">
        <w:trPr>
          <w:trHeight w:val="70"/>
        </w:trPr>
        <w:tc>
          <w:tcPr>
            <w:cnfStyle w:val="001000000000" w:firstRow="0" w:lastRow="0" w:firstColumn="1" w:lastColumn="0" w:oddVBand="0" w:evenVBand="0" w:oddHBand="0" w:evenHBand="0" w:firstRowFirstColumn="0" w:firstRowLastColumn="0" w:lastRowFirstColumn="0" w:lastRowLastColumn="0"/>
            <w:tcW w:w="5098" w:type="dxa"/>
          </w:tcPr>
          <w:p w14:paraId="0CB651A7" w14:textId="5B68D499" w:rsidR="00F50B00" w:rsidRPr="00D25AB9" w:rsidRDefault="00F50B00" w:rsidP="00F50B00">
            <w:pPr>
              <w:spacing w:before="40" w:after="40"/>
              <w:jc w:val="right"/>
              <w:rPr>
                <w:rFonts w:ascii="Arial Narrow" w:hAnsi="Arial Narrow" w:cstheme="minorHAnsi"/>
                <w:b w:val="0"/>
                <w:bCs w:val="0"/>
                <w:i/>
                <w:iCs/>
                <w:sz w:val="22"/>
                <w:szCs w:val="22"/>
              </w:rPr>
            </w:pPr>
            <w:r w:rsidRPr="00D25AB9">
              <w:rPr>
                <w:rFonts w:ascii="Arial Narrow" w:hAnsi="Arial Narrow" w:cstheme="minorHAnsi"/>
                <w:b w:val="0"/>
                <w:bCs w:val="0"/>
                <w:i/>
                <w:iCs/>
                <w:sz w:val="22"/>
                <w:szCs w:val="22"/>
              </w:rPr>
              <w:t>novirzīti ambulatorai ārstēšanai pēc NMP</w:t>
            </w:r>
          </w:p>
        </w:tc>
        <w:tc>
          <w:tcPr>
            <w:tcW w:w="2197" w:type="dxa"/>
          </w:tcPr>
          <w:p w14:paraId="496732AF" w14:textId="18BBB608"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iCs/>
                <w:sz w:val="22"/>
                <w:szCs w:val="22"/>
              </w:rPr>
            </w:pPr>
            <w:r w:rsidRPr="00D25AB9">
              <w:rPr>
                <w:rFonts w:ascii="Arial Narrow" w:hAnsi="Arial Narrow" w:cstheme="minorHAnsi"/>
                <w:i/>
                <w:iCs/>
                <w:sz w:val="22"/>
                <w:szCs w:val="22"/>
              </w:rPr>
              <w:t>20</w:t>
            </w:r>
          </w:p>
        </w:tc>
        <w:tc>
          <w:tcPr>
            <w:tcW w:w="2198" w:type="dxa"/>
          </w:tcPr>
          <w:p w14:paraId="17103433" w14:textId="06BAC8C2"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iCs/>
                <w:sz w:val="22"/>
                <w:szCs w:val="22"/>
              </w:rPr>
            </w:pPr>
            <w:r w:rsidRPr="00D25AB9">
              <w:rPr>
                <w:rFonts w:ascii="Arial Narrow" w:hAnsi="Arial Narrow" w:cstheme="minorHAnsi"/>
                <w:i/>
                <w:iCs/>
                <w:sz w:val="22"/>
                <w:szCs w:val="22"/>
              </w:rPr>
              <w:t>19</w:t>
            </w:r>
          </w:p>
        </w:tc>
      </w:tr>
      <w:tr w:rsidR="00F50B00" w:rsidRPr="00D25AB9" w14:paraId="172F5D11" w14:textId="77777777" w:rsidTr="69630B24">
        <w:tc>
          <w:tcPr>
            <w:cnfStyle w:val="001000000000" w:firstRow="0" w:lastRow="0" w:firstColumn="1" w:lastColumn="0" w:oddVBand="0" w:evenVBand="0" w:oddHBand="0" w:evenHBand="0" w:firstRowFirstColumn="0" w:firstRowLastColumn="0" w:lastRowFirstColumn="0" w:lastRowLastColumn="0"/>
            <w:tcW w:w="5098" w:type="dxa"/>
          </w:tcPr>
          <w:p w14:paraId="2FD0D83A" w14:textId="6504E4AC" w:rsidR="00F50B00" w:rsidRPr="00D25AB9" w:rsidRDefault="00F50B00" w:rsidP="00F50B00">
            <w:pPr>
              <w:spacing w:before="40" w:after="40"/>
              <w:jc w:val="right"/>
              <w:rPr>
                <w:rFonts w:ascii="Arial Narrow" w:hAnsi="Arial Narrow" w:cstheme="minorHAnsi"/>
                <w:b w:val="0"/>
                <w:bCs w:val="0"/>
                <w:i/>
                <w:iCs/>
                <w:sz w:val="22"/>
                <w:szCs w:val="22"/>
              </w:rPr>
            </w:pPr>
            <w:r w:rsidRPr="00D25AB9">
              <w:rPr>
                <w:rFonts w:ascii="Arial Narrow" w:hAnsi="Arial Narrow" w:cstheme="minorHAnsi"/>
                <w:b w:val="0"/>
                <w:bCs w:val="0"/>
                <w:i/>
                <w:iCs/>
                <w:sz w:val="22"/>
                <w:szCs w:val="22"/>
              </w:rPr>
              <w:t>novirzīti ambulatorai ārstēšanai pēc observācijas</w:t>
            </w:r>
          </w:p>
        </w:tc>
        <w:tc>
          <w:tcPr>
            <w:tcW w:w="2197" w:type="dxa"/>
          </w:tcPr>
          <w:p w14:paraId="7A040468" w14:textId="614D9489"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iCs/>
                <w:sz w:val="22"/>
                <w:szCs w:val="22"/>
              </w:rPr>
            </w:pPr>
            <w:r w:rsidRPr="00D25AB9">
              <w:rPr>
                <w:rFonts w:ascii="Arial Narrow" w:hAnsi="Arial Narrow" w:cstheme="minorHAnsi"/>
                <w:i/>
                <w:iCs/>
                <w:sz w:val="22"/>
                <w:szCs w:val="22"/>
              </w:rPr>
              <w:t>23</w:t>
            </w:r>
          </w:p>
        </w:tc>
        <w:tc>
          <w:tcPr>
            <w:tcW w:w="2198" w:type="dxa"/>
          </w:tcPr>
          <w:p w14:paraId="0729F3BC" w14:textId="701826B5"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iCs/>
                <w:sz w:val="22"/>
                <w:szCs w:val="22"/>
              </w:rPr>
            </w:pPr>
            <w:r w:rsidRPr="00D25AB9">
              <w:rPr>
                <w:rFonts w:ascii="Arial Narrow" w:hAnsi="Arial Narrow" w:cstheme="minorHAnsi"/>
                <w:i/>
                <w:iCs/>
                <w:sz w:val="22"/>
                <w:szCs w:val="22"/>
              </w:rPr>
              <w:t>30</w:t>
            </w:r>
          </w:p>
        </w:tc>
      </w:tr>
      <w:tr w:rsidR="00F50B00" w:rsidRPr="00D25AB9" w14:paraId="02B94720" w14:textId="77777777" w:rsidTr="69630B24">
        <w:trPr>
          <w:trHeight w:val="70"/>
        </w:trPr>
        <w:tc>
          <w:tcPr>
            <w:cnfStyle w:val="001000000000" w:firstRow="0" w:lastRow="0" w:firstColumn="1" w:lastColumn="0" w:oddVBand="0" w:evenVBand="0" w:oddHBand="0" w:evenHBand="0" w:firstRowFirstColumn="0" w:firstRowLastColumn="0" w:lastRowFirstColumn="0" w:lastRowLastColumn="0"/>
            <w:tcW w:w="5098" w:type="dxa"/>
          </w:tcPr>
          <w:p w14:paraId="479D6FC8" w14:textId="11F78D1F" w:rsidR="00F50B00" w:rsidRPr="00D25AB9" w:rsidRDefault="69630B24" w:rsidP="69630B24">
            <w:pPr>
              <w:spacing w:before="40" w:after="40"/>
              <w:jc w:val="right"/>
              <w:rPr>
                <w:rFonts w:ascii="Arial Narrow" w:hAnsi="Arial Narrow" w:cstheme="minorHAnsi"/>
                <w:b w:val="0"/>
                <w:bCs w:val="0"/>
                <w:i/>
                <w:iCs/>
                <w:sz w:val="22"/>
                <w:szCs w:val="22"/>
              </w:rPr>
            </w:pPr>
            <w:proofErr w:type="spellStart"/>
            <w:r w:rsidRPr="00D25AB9">
              <w:rPr>
                <w:rFonts w:ascii="Arial Narrow" w:hAnsi="Arial Narrow" w:cstheme="minorHAnsi"/>
                <w:b w:val="0"/>
                <w:bCs w:val="0"/>
                <w:i/>
                <w:iCs/>
                <w:sz w:val="22"/>
                <w:szCs w:val="22"/>
              </w:rPr>
              <w:t>stacionētie</w:t>
            </w:r>
            <w:proofErr w:type="spellEnd"/>
          </w:p>
        </w:tc>
        <w:tc>
          <w:tcPr>
            <w:tcW w:w="2197" w:type="dxa"/>
          </w:tcPr>
          <w:p w14:paraId="7DD61DD9" w14:textId="5EEAD5A4"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iCs/>
                <w:sz w:val="22"/>
                <w:szCs w:val="22"/>
              </w:rPr>
            </w:pPr>
            <w:r w:rsidRPr="00D25AB9">
              <w:rPr>
                <w:rFonts w:ascii="Arial Narrow" w:hAnsi="Arial Narrow" w:cstheme="minorHAnsi"/>
                <w:i/>
                <w:iCs/>
                <w:sz w:val="22"/>
                <w:szCs w:val="22"/>
              </w:rPr>
              <w:t>840</w:t>
            </w:r>
          </w:p>
        </w:tc>
        <w:tc>
          <w:tcPr>
            <w:tcW w:w="2198" w:type="dxa"/>
          </w:tcPr>
          <w:p w14:paraId="1A441801" w14:textId="4F7D763E"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iCs/>
                <w:sz w:val="22"/>
                <w:szCs w:val="22"/>
              </w:rPr>
            </w:pPr>
            <w:r w:rsidRPr="00D25AB9">
              <w:rPr>
                <w:rFonts w:ascii="Arial Narrow" w:hAnsi="Arial Narrow" w:cstheme="minorHAnsi"/>
                <w:i/>
                <w:iCs/>
                <w:sz w:val="22"/>
                <w:szCs w:val="22"/>
              </w:rPr>
              <w:t>874</w:t>
            </w:r>
          </w:p>
        </w:tc>
      </w:tr>
      <w:tr w:rsidR="00F50B00" w:rsidRPr="00D25AB9" w14:paraId="17D6BBE2" w14:textId="77777777" w:rsidTr="69630B24">
        <w:trPr>
          <w:trHeight w:val="317"/>
        </w:trPr>
        <w:tc>
          <w:tcPr>
            <w:cnfStyle w:val="001000000000" w:firstRow="0" w:lastRow="0" w:firstColumn="1" w:lastColumn="0" w:oddVBand="0" w:evenVBand="0" w:oddHBand="0" w:evenHBand="0" w:firstRowFirstColumn="0" w:firstRowLastColumn="0" w:lastRowFirstColumn="0" w:lastRowLastColumn="0"/>
            <w:tcW w:w="5098" w:type="dxa"/>
          </w:tcPr>
          <w:p w14:paraId="150BD83C" w14:textId="77777777" w:rsidR="00F50B00" w:rsidRPr="00D25AB9" w:rsidRDefault="00F50B00" w:rsidP="00F50B00">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lastRenderedPageBreak/>
              <w:t>Kopējais gultu skaits</w:t>
            </w:r>
          </w:p>
        </w:tc>
        <w:tc>
          <w:tcPr>
            <w:tcW w:w="2197" w:type="dxa"/>
          </w:tcPr>
          <w:p w14:paraId="02733CC2" w14:textId="4878A775" w:rsidR="00F50B00" w:rsidRPr="00D25AB9"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110</w:t>
            </w:r>
          </w:p>
        </w:tc>
        <w:tc>
          <w:tcPr>
            <w:tcW w:w="2198" w:type="dxa"/>
          </w:tcPr>
          <w:p w14:paraId="19EE927B" w14:textId="60B3E60A" w:rsidR="00F50B00" w:rsidRPr="00D25AB9" w:rsidRDefault="00243523" w:rsidP="00243523">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105</w:t>
            </w:r>
          </w:p>
        </w:tc>
      </w:tr>
      <w:tr w:rsidR="00F50B00" w:rsidRPr="00D25AB9" w14:paraId="672E65C8" w14:textId="77777777" w:rsidTr="69630B24">
        <w:tc>
          <w:tcPr>
            <w:cnfStyle w:val="001000000000" w:firstRow="0" w:lastRow="0" w:firstColumn="1" w:lastColumn="0" w:oddVBand="0" w:evenVBand="0" w:oddHBand="0" w:evenHBand="0" w:firstRowFirstColumn="0" w:firstRowLastColumn="0" w:lastRowFirstColumn="0" w:lastRowLastColumn="0"/>
            <w:tcW w:w="5098" w:type="dxa"/>
          </w:tcPr>
          <w:p w14:paraId="264CEB49" w14:textId="7C9C8565" w:rsidR="00F50B00" w:rsidRPr="00D25AB9" w:rsidRDefault="00F50B00" w:rsidP="00F50B00">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Pacientu pavadītais dienu laiks slimnīcā</w:t>
            </w:r>
          </w:p>
        </w:tc>
        <w:tc>
          <w:tcPr>
            <w:tcW w:w="2197" w:type="dxa"/>
          </w:tcPr>
          <w:p w14:paraId="6FEB1C2B" w14:textId="69400177"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17</w:t>
            </w:r>
            <w:r w:rsidR="00FA347B" w:rsidRPr="00D25AB9">
              <w:rPr>
                <w:rFonts w:ascii="Arial Narrow" w:hAnsi="Arial Narrow" w:cstheme="minorHAnsi"/>
                <w:sz w:val="22"/>
                <w:szCs w:val="22"/>
              </w:rPr>
              <w:t xml:space="preserve"> </w:t>
            </w:r>
            <w:r w:rsidRPr="00D25AB9">
              <w:rPr>
                <w:rFonts w:ascii="Arial Narrow" w:hAnsi="Arial Narrow" w:cstheme="minorHAnsi"/>
                <w:sz w:val="22"/>
                <w:szCs w:val="22"/>
              </w:rPr>
              <w:t>920</w:t>
            </w:r>
          </w:p>
        </w:tc>
        <w:tc>
          <w:tcPr>
            <w:tcW w:w="2198" w:type="dxa"/>
          </w:tcPr>
          <w:p w14:paraId="29A496DB" w14:textId="10716518"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16</w:t>
            </w:r>
            <w:r w:rsidR="00FA347B" w:rsidRPr="00D25AB9">
              <w:rPr>
                <w:rFonts w:ascii="Arial Narrow" w:hAnsi="Arial Narrow" w:cstheme="minorHAnsi"/>
                <w:sz w:val="22"/>
                <w:szCs w:val="22"/>
              </w:rPr>
              <w:t xml:space="preserve"> </w:t>
            </w:r>
            <w:r w:rsidRPr="00D25AB9">
              <w:rPr>
                <w:rFonts w:ascii="Arial Narrow" w:hAnsi="Arial Narrow" w:cstheme="minorHAnsi"/>
                <w:sz w:val="22"/>
                <w:szCs w:val="22"/>
              </w:rPr>
              <w:t>891</w:t>
            </w:r>
          </w:p>
        </w:tc>
      </w:tr>
      <w:tr w:rsidR="00F50B00" w:rsidRPr="00D25AB9" w14:paraId="18592EE5" w14:textId="77777777" w:rsidTr="69630B24">
        <w:tc>
          <w:tcPr>
            <w:cnfStyle w:val="001000000000" w:firstRow="0" w:lastRow="0" w:firstColumn="1" w:lastColumn="0" w:oddVBand="0" w:evenVBand="0" w:oddHBand="0" w:evenHBand="0" w:firstRowFirstColumn="0" w:firstRowLastColumn="0" w:lastRowFirstColumn="0" w:lastRowLastColumn="0"/>
            <w:tcW w:w="5098" w:type="dxa"/>
          </w:tcPr>
          <w:p w14:paraId="2E6ED987" w14:textId="77777777" w:rsidR="00F50B00" w:rsidRPr="00D25AB9" w:rsidRDefault="00F50B00" w:rsidP="00F50B00">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Vidējais ārstēšanas ilgums, dienas</w:t>
            </w:r>
          </w:p>
        </w:tc>
        <w:tc>
          <w:tcPr>
            <w:tcW w:w="2197" w:type="dxa"/>
          </w:tcPr>
          <w:p w14:paraId="6D9BCD1B" w14:textId="53295511"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21,33</w:t>
            </w:r>
          </w:p>
        </w:tc>
        <w:tc>
          <w:tcPr>
            <w:tcW w:w="2198" w:type="dxa"/>
          </w:tcPr>
          <w:p w14:paraId="0D188670" w14:textId="074C533F"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19,46</w:t>
            </w:r>
          </w:p>
        </w:tc>
      </w:tr>
      <w:tr w:rsidR="00F50B00" w:rsidRPr="00D25AB9" w14:paraId="4851E35D" w14:textId="77777777" w:rsidTr="69630B24">
        <w:tc>
          <w:tcPr>
            <w:cnfStyle w:val="001000000000" w:firstRow="0" w:lastRow="0" w:firstColumn="1" w:lastColumn="0" w:oddVBand="0" w:evenVBand="0" w:oddHBand="0" w:evenHBand="0" w:firstRowFirstColumn="0" w:firstRowLastColumn="0" w:lastRowFirstColumn="0" w:lastRowLastColumn="0"/>
            <w:tcW w:w="5098" w:type="dxa"/>
          </w:tcPr>
          <w:p w14:paraId="3068BC81" w14:textId="562E8C00" w:rsidR="00F50B00" w:rsidRPr="00D25AB9" w:rsidRDefault="00F50B00" w:rsidP="00F50B00">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Vidējais gultu noslogojums stacionārā %</w:t>
            </w:r>
          </w:p>
        </w:tc>
        <w:tc>
          <w:tcPr>
            <w:tcW w:w="2197" w:type="dxa"/>
          </w:tcPr>
          <w:p w14:paraId="3D1470A0" w14:textId="35166FD6"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90,01</w:t>
            </w:r>
          </w:p>
        </w:tc>
        <w:tc>
          <w:tcPr>
            <w:tcW w:w="2198" w:type="dxa"/>
          </w:tcPr>
          <w:p w14:paraId="54317E75" w14:textId="656A117E"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88,88</w:t>
            </w:r>
          </w:p>
        </w:tc>
      </w:tr>
      <w:tr w:rsidR="00F50B00" w:rsidRPr="00D25AB9" w14:paraId="4EC67E4D" w14:textId="77777777" w:rsidTr="69630B24">
        <w:trPr>
          <w:trHeight w:val="70"/>
        </w:trPr>
        <w:tc>
          <w:tcPr>
            <w:cnfStyle w:val="001000000000" w:firstRow="0" w:lastRow="0" w:firstColumn="1" w:lastColumn="0" w:oddVBand="0" w:evenVBand="0" w:oddHBand="0" w:evenHBand="0" w:firstRowFirstColumn="0" w:firstRowLastColumn="0" w:lastRowFirstColumn="0" w:lastRowLastColumn="0"/>
            <w:tcW w:w="5098" w:type="dxa"/>
          </w:tcPr>
          <w:p w14:paraId="088C4E91" w14:textId="57179B2F" w:rsidR="00F50B00" w:rsidRPr="00D25AB9" w:rsidRDefault="00F50B00" w:rsidP="00F50B00">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Pacienti, kas ārstējās stacionārā atkārtoti</w:t>
            </w:r>
          </w:p>
        </w:tc>
        <w:tc>
          <w:tcPr>
            <w:tcW w:w="2197" w:type="dxa"/>
          </w:tcPr>
          <w:p w14:paraId="09AEB3BF" w14:textId="00EA3751" w:rsidR="00F50B00" w:rsidRPr="00D25AB9" w:rsidRDefault="002D4957"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200</w:t>
            </w:r>
          </w:p>
        </w:tc>
        <w:tc>
          <w:tcPr>
            <w:tcW w:w="2198" w:type="dxa"/>
          </w:tcPr>
          <w:p w14:paraId="0E325A2A" w14:textId="6D9C137B" w:rsidR="00F50B00" w:rsidRPr="00D25AB9" w:rsidRDefault="002D4957" w:rsidP="002D4957">
            <w:pPr>
              <w:spacing w:before="40" w:after="40"/>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172</w:t>
            </w:r>
          </w:p>
        </w:tc>
      </w:tr>
    </w:tbl>
    <w:p w14:paraId="5555291E" w14:textId="74263CEB" w:rsidR="00C932D2" w:rsidRDefault="00C932D2" w:rsidP="00C932D2">
      <w:pPr>
        <w:rPr>
          <w:rFonts w:ascii="Arial Narrow" w:hAnsi="Arial Narrow" w:cstheme="minorHAnsi"/>
        </w:rPr>
      </w:pPr>
      <w:r w:rsidRPr="00D25AB9">
        <w:rPr>
          <w:rFonts w:ascii="Arial Narrow" w:hAnsi="Arial Narrow" w:cstheme="minorHAnsi"/>
        </w:rPr>
        <w:t>202</w:t>
      </w:r>
      <w:r w:rsidR="00243523" w:rsidRPr="00D25AB9">
        <w:rPr>
          <w:rFonts w:ascii="Arial Narrow" w:hAnsi="Arial Narrow" w:cstheme="minorHAnsi"/>
        </w:rPr>
        <w:t>5</w:t>
      </w:r>
      <w:r w:rsidRPr="00D25AB9">
        <w:rPr>
          <w:rFonts w:ascii="Arial Narrow" w:hAnsi="Arial Narrow" w:cstheme="minorHAnsi"/>
        </w:rPr>
        <w:t xml:space="preserve">. gada </w:t>
      </w:r>
      <w:r w:rsidR="002D4957" w:rsidRPr="00D25AB9">
        <w:rPr>
          <w:rFonts w:ascii="Arial Narrow" w:hAnsi="Arial Narrow" w:cstheme="minorHAnsi"/>
        </w:rPr>
        <w:t xml:space="preserve">sešos mēnešos </w:t>
      </w:r>
      <w:r w:rsidRPr="00D25AB9">
        <w:rPr>
          <w:rFonts w:ascii="Arial Narrow" w:hAnsi="Arial Narrow" w:cstheme="minorHAnsi"/>
        </w:rPr>
        <w:t xml:space="preserve">stacionārā ārstniecības pakalpojumus saņēmuši </w:t>
      </w:r>
      <w:r w:rsidR="002D4957" w:rsidRPr="00D25AB9">
        <w:rPr>
          <w:rFonts w:ascii="Arial Narrow" w:hAnsi="Arial Narrow" w:cstheme="minorHAnsi"/>
        </w:rPr>
        <w:t>923</w:t>
      </w:r>
      <w:r w:rsidRPr="00D25AB9">
        <w:rPr>
          <w:rFonts w:ascii="Arial Narrow" w:hAnsi="Arial Narrow" w:cstheme="minorHAnsi"/>
        </w:rPr>
        <w:t xml:space="preserve"> pacienti, no tiem </w:t>
      </w:r>
      <w:r w:rsidR="002D4957" w:rsidRPr="00D25AB9">
        <w:rPr>
          <w:rFonts w:ascii="Arial Narrow" w:hAnsi="Arial Narrow" w:cstheme="minorHAnsi"/>
        </w:rPr>
        <w:t>868</w:t>
      </w:r>
      <w:r w:rsidRPr="00D25AB9">
        <w:rPr>
          <w:rFonts w:ascii="Arial Narrow" w:hAnsi="Arial Narrow" w:cstheme="minorHAnsi"/>
        </w:rPr>
        <w:t xml:space="preserve"> izrakstīti, </w:t>
      </w:r>
      <w:r w:rsidR="002D4957" w:rsidRPr="00D25AB9">
        <w:rPr>
          <w:rFonts w:ascii="Arial Narrow" w:hAnsi="Arial Narrow" w:cstheme="minorHAnsi"/>
        </w:rPr>
        <w:t>78</w:t>
      </w:r>
      <w:r w:rsidRPr="00D25AB9">
        <w:rPr>
          <w:rFonts w:ascii="Arial Narrow" w:hAnsi="Arial Narrow" w:cstheme="minorHAnsi"/>
        </w:rPr>
        <w:t xml:space="preserve"> pacienti turpina ārstēšanos diennakts stacionārā. Kopējais gultu dienu skaits ir </w:t>
      </w:r>
      <w:r w:rsidR="002D4957" w:rsidRPr="00D25AB9">
        <w:rPr>
          <w:rFonts w:ascii="Arial Narrow" w:hAnsi="Arial Narrow" w:cstheme="minorHAnsi"/>
        </w:rPr>
        <w:t>16</w:t>
      </w:r>
      <w:r w:rsidR="00FA347B" w:rsidRPr="00D25AB9">
        <w:rPr>
          <w:rFonts w:ascii="Arial Narrow" w:hAnsi="Arial Narrow" w:cstheme="minorHAnsi"/>
        </w:rPr>
        <w:t xml:space="preserve"> </w:t>
      </w:r>
      <w:r w:rsidR="002D4957" w:rsidRPr="00D25AB9">
        <w:rPr>
          <w:rFonts w:ascii="Arial Narrow" w:hAnsi="Arial Narrow" w:cstheme="minorHAnsi"/>
        </w:rPr>
        <w:t>891</w:t>
      </w:r>
      <w:r w:rsidRPr="00D25AB9">
        <w:rPr>
          <w:rFonts w:ascii="Arial Narrow" w:hAnsi="Arial Narrow" w:cstheme="minorHAnsi"/>
        </w:rPr>
        <w:t xml:space="preserve">, vidējais ārstēšanās ilgums stacionārā ir </w:t>
      </w:r>
      <w:r w:rsidR="002D4957" w:rsidRPr="00D25AB9">
        <w:rPr>
          <w:rFonts w:ascii="Arial Narrow" w:hAnsi="Arial Narrow" w:cstheme="minorHAnsi"/>
        </w:rPr>
        <w:t>19,46</w:t>
      </w:r>
      <w:r w:rsidR="00243523" w:rsidRPr="00D25AB9">
        <w:rPr>
          <w:rFonts w:ascii="Arial Narrow" w:hAnsi="Arial Narrow" w:cstheme="minorHAnsi"/>
        </w:rPr>
        <w:t xml:space="preserve"> </w:t>
      </w:r>
      <w:r w:rsidRPr="00D25AB9">
        <w:rPr>
          <w:rFonts w:ascii="Arial Narrow" w:hAnsi="Arial Narrow" w:cstheme="minorHAnsi"/>
        </w:rPr>
        <w:t xml:space="preserve">dienas, vidējais gultu noslogojums </w:t>
      </w:r>
      <w:r w:rsidR="002D4957" w:rsidRPr="00D25AB9">
        <w:rPr>
          <w:rFonts w:ascii="Arial Narrow" w:hAnsi="Arial Narrow" w:cstheme="minorHAnsi"/>
        </w:rPr>
        <w:t>88,88</w:t>
      </w:r>
      <w:r w:rsidRPr="00D25AB9">
        <w:rPr>
          <w:rFonts w:ascii="Arial Narrow" w:hAnsi="Arial Narrow" w:cstheme="minorHAnsi"/>
        </w:rPr>
        <w:t xml:space="preserve">%. </w:t>
      </w:r>
    </w:p>
    <w:p w14:paraId="6A245D68" w14:textId="18C134F3" w:rsidR="00651432" w:rsidRDefault="00651432" w:rsidP="00651432">
      <w:pPr>
        <w:rPr>
          <w:rFonts w:ascii="Arial Narrow" w:hAnsi="Arial Narrow" w:cstheme="minorHAnsi"/>
          <w:color w:val="000000" w:themeColor="text1"/>
        </w:rPr>
      </w:pPr>
      <w:r w:rsidRPr="00D25AB9">
        <w:rPr>
          <w:rFonts w:ascii="Arial Narrow" w:hAnsi="Arial Narrow" w:cstheme="minorHAnsi"/>
          <w:color w:val="000000" w:themeColor="text1"/>
        </w:rPr>
        <w:t xml:space="preserve">Pārskata perioda dati liecina, ka pieprasījums pēc neatliekamās medicīniskās psihiatriskās stacionāras palīdzības </w:t>
      </w:r>
      <w:r w:rsidRPr="00D25AB9">
        <w:rPr>
          <w:rFonts w:ascii="Arial Narrow" w:hAnsi="Arial Narrow"/>
        </w:rPr>
        <w:t xml:space="preserve">pakalpojumiem pieaugt, kas norāda uz pieaugošu psihisko saslimšanu izplatību sabiedrībā, kā arī uz ierobežotu ambulatoro pakalpojumu pieejamību. </w:t>
      </w:r>
      <w:r w:rsidRPr="00D25AB9">
        <w:rPr>
          <w:rFonts w:ascii="Arial Narrow" w:hAnsi="Arial Narrow" w:cstheme="minorHAnsi"/>
          <w:color w:val="000000" w:themeColor="text1"/>
        </w:rPr>
        <w:t xml:space="preserve">Pieprasījums pēc </w:t>
      </w:r>
      <w:proofErr w:type="spellStart"/>
      <w:r w:rsidRPr="00D25AB9">
        <w:rPr>
          <w:rFonts w:ascii="Arial Narrow" w:hAnsi="Arial Narrow" w:cstheme="minorHAnsi"/>
          <w:color w:val="000000" w:themeColor="text1"/>
        </w:rPr>
        <w:t>neirotisko</w:t>
      </w:r>
      <w:proofErr w:type="spellEnd"/>
      <w:r w:rsidRPr="00D25AB9">
        <w:rPr>
          <w:rFonts w:ascii="Arial Narrow" w:hAnsi="Arial Narrow" w:cstheme="minorHAnsi"/>
          <w:color w:val="000000" w:themeColor="text1"/>
        </w:rPr>
        <w:t xml:space="preserve"> pacientu psihiatriskās aprūpes pieaug, īpaši ņemot vērā karadarbību Ukrainā un kopējo globālo nestabilitāti un tās radītās sekas sabiedrības psihiskajā veselībā.  </w:t>
      </w:r>
    </w:p>
    <w:p w14:paraId="41CE76A4" w14:textId="285D345D" w:rsidR="00ED711F" w:rsidRDefault="00ED711F" w:rsidP="000F5F44">
      <w:pPr>
        <w:rPr>
          <w:rFonts w:ascii="Arial Narrow" w:hAnsi="Arial Narrow" w:cstheme="minorHAnsi"/>
        </w:rPr>
      </w:pPr>
      <w:r>
        <w:rPr>
          <w:rFonts w:ascii="Arial Narrow" w:hAnsi="Arial Narrow" w:cstheme="minorHAnsi"/>
        </w:rPr>
        <w:t>S</w:t>
      </w:r>
      <w:r w:rsidRPr="00D25AB9">
        <w:rPr>
          <w:rFonts w:ascii="Arial Narrow" w:hAnsi="Arial Narrow" w:cstheme="minorHAnsi"/>
        </w:rPr>
        <w:t xml:space="preserve">tacionāra ietvaros </w:t>
      </w:r>
      <w:r>
        <w:rPr>
          <w:rFonts w:ascii="Arial Narrow" w:hAnsi="Arial Narrow" w:cstheme="minorHAnsi"/>
        </w:rPr>
        <w:t xml:space="preserve">pacienti </w:t>
      </w:r>
      <w:r w:rsidRPr="00D25AB9">
        <w:rPr>
          <w:rFonts w:ascii="Arial Narrow" w:hAnsi="Arial Narrow" w:cstheme="minorHAnsi"/>
        </w:rPr>
        <w:t xml:space="preserve">saņem </w:t>
      </w:r>
      <w:proofErr w:type="spellStart"/>
      <w:r w:rsidRPr="00D25AB9">
        <w:rPr>
          <w:rFonts w:ascii="Arial Narrow" w:hAnsi="Arial Narrow" w:cstheme="minorHAnsi"/>
        </w:rPr>
        <w:t>multiprofesionālu</w:t>
      </w:r>
      <w:proofErr w:type="spellEnd"/>
      <w:r w:rsidRPr="00D25AB9">
        <w:rPr>
          <w:rFonts w:ascii="Arial Narrow" w:hAnsi="Arial Narrow" w:cstheme="minorHAnsi"/>
        </w:rPr>
        <w:t xml:space="preserve"> rehabilitāciju</w:t>
      </w:r>
      <w:r>
        <w:rPr>
          <w:rFonts w:ascii="Arial Narrow" w:hAnsi="Arial Narrow" w:cstheme="minorHAnsi"/>
        </w:rPr>
        <w:t xml:space="preserve">, kuru sniedz </w:t>
      </w:r>
      <w:proofErr w:type="spellStart"/>
      <w:r w:rsidRPr="00D25AB9">
        <w:rPr>
          <w:rFonts w:ascii="Arial Narrow" w:hAnsi="Arial Narrow" w:cstheme="minorHAnsi"/>
        </w:rPr>
        <w:t>multiprofesionālā</w:t>
      </w:r>
      <w:proofErr w:type="spellEnd"/>
      <w:r>
        <w:rPr>
          <w:rFonts w:ascii="Arial Narrow" w:hAnsi="Arial Narrow" w:cstheme="minorHAnsi"/>
        </w:rPr>
        <w:t xml:space="preserve"> speciālistu</w:t>
      </w:r>
      <w:r w:rsidRPr="00D25AB9">
        <w:rPr>
          <w:rFonts w:ascii="Arial Narrow" w:hAnsi="Arial Narrow" w:cstheme="minorHAnsi"/>
        </w:rPr>
        <w:t xml:space="preserve"> komandas</w:t>
      </w:r>
      <w:r>
        <w:rPr>
          <w:rFonts w:ascii="Arial Narrow" w:hAnsi="Arial Narrow" w:cstheme="minorHAnsi"/>
        </w:rPr>
        <w:t>. S</w:t>
      </w:r>
      <w:r w:rsidRPr="00D25AB9">
        <w:rPr>
          <w:rFonts w:ascii="Arial Narrow" w:hAnsi="Arial Narrow" w:cstheme="minorHAnsi"/>
        </w:rPr>
        <w:t>tacionārā esošie</w:t>
      </w:r>
      <w:r>
        <w:rPr>
          <w:rFonts w:ascii="Arial Narrow" w:hAnsi="Arial Narrow" w:cstheme="minorHAnsi"/>
        </w:rPr>
        <w:t>m</w:t>
      </w:r>
      <w:r w:rsidRPr="00D25AB9">
        <w:rPr>
          <w:rFonts w:ascii="Arial Narrow" w:hAnsi="Arial Narrow" w:cstheme="minorHAnsi"/>
        </w:rPr>
        <w:t xml:space="preserve"> pacienti</w:t>
      </w:r>
      <w:r>
        <w:rPr>
          <w:rFonts w:ascii="Arial Narrow" w:hAnsi="Arial Narrow" w:cstheme="minorHAnsi"/>
        </w:rPr>
        <w:t>em ir iespēja</w:t>
      </w:r>
      <w:r w:rsidRPr="00D25AB9">
        <w:rPr>
          <w:rFonts w:ascii="Arial Narrow" w:hAnsi="Arial Narrow" w:cstheme="minorHAnsi"/>
        </w:rPr>
        <w:t xml:space="preserve"> saņemt ne tikai psihiatrisku un medicīnisku palīdzību, bet vienlaicīgi - arī psihologu un funkcionālo speciālistu sesijas.</w:t>
      </w:r>
      <w:r>
        <w:rPr>
          <w:rFonts w:ascii="Arial Narrow" w:hAnsi="Arial Narrow" w:cstheme="minorHAnsi"/>
        </w:rPr>
        <w:t xml:space="preserve"> </w:t>
      </w:r>
      <w:r w:rsidR="000F5F44" w:rsidRPr="002B3AD7">
        <w:rPr>
          <w:rFonts w:ascii="Arial Narrow" w:hAnsi="Arial Narrow" w:cstheme="minorHAnsi"/>
        </w:rPr>
        <w:t>30.</w:t>
      </w:r>
      <w:r w:rsidRPr="002B3AD7">
        <w:rPr>
          <w:rFonts w:ascii="Arial Narrow" w:hAnsi="Arial Narrow" w:cstheme="minorHAnsi"/>
        </w:rPr>
        <w:t xml:space="preserve">06.2025. ir fiksēta pārstrāde </w:t>
      </w:r>
      <w:r w:rsidR="002B3AD7">
        <w:rPr>
          <w:rFonts w:ascii="Arial Narrow" w:hAnsi="Arial Narrow" w:cstheme="minorHAnsi"/>
        </w:rPr>
        <w:t>159 343</w:t>
      </w:r>
      <w:r w:rsidRPr="002B3AD7">
        <w:rPr>
          <w:rFonts w:ascii="Arial Narrow" w:hAnsi="Arial Narrow" w:cstheme="minorHAnsi"/>
        </w:rPr>
        <w:t xml:space="preserve"> EUR.</w:t>
      </w:r>
      <w:r>
        <w:rPr>
          <w:rFonts w:ascii="Arial Narrow" w:hAnsi="Arial Narrow" w:cstheme="minorHAnsi"/>
        </w:rPr>
        <w:t xml:space="preserve"> </w:t>
      </w:r>
      <w:r w:rsidRPr="00D25AB9">
        <w:rPr>
          <w:rFonts w:ascii="Arial Narrow" w:hAnsi="Arial Narrow" w:cstheme="minorHAnsi"/>
        </w:rPr>
        <w:t xml:space="preserve"> </w:t>
      </w:r>
    </w:p>
    <w:p w14:paraId="57516F36" w14:textId="789527E5" w:rsidR="00651432" w:rsidRPr="00D25AB9" w:rsidRDefault="00ED711F" w:rsidP="00C932D2">
      <w:pPr>
        <w:rPr>
          <w:rFonts w:ascii="Arial Narrow" w:hAnsi="Arial Narrow" w:cstheme="minorHAnsi"/>
        </w:rPr>
      </w:pPr>
      <w:r>
        <w:rPr>
          <w:rFonts w:ascii="Arial Narrow" w:hAnsi="Arial Narrow" w:cstheme="minorHAnsi"/>
        </w:rPr>
        <w:t xml:space="preserve">Psihiatriskās rehabilitācijas pakalpojumiem </w:t>
      </w:r>
      <w:r w:rsidR="008A3605" w:rsidRPr="002B3AD7">
        <w:rPr>
          <w:rFonts w:ascii="Arial Narrow" w:hAnsi="Arial Narrow" w:cstheme="minorHAnsi"/>
        </w:rPr>
        <w:t xml:space="preserve">uz </w:t>
      </w:r>
      <w:r w:rsidR="002B3AD7" w:rsidRPr="002B3AD7">
        <w:rPr>
          <w:rFonts w:ascii="Arial Narrow" w:hAnsi="Arial Narrow" w:cstheme="minorHAnsi"/>
        </w:rPr>
        <w:t>30</w:t>
      </w:r>
      <w:r w:rsidR="008A3605" w:rsidRPr="002B3AD7">
        <w:rPr>
          <w:rFonts w:ascii="Arial Narrow" w:hAnsi="Arial Narrow" w:cstheme="minorHAnsi"/>
        </w:rPr>
        <w:t xml:space="preserve">.06.2025. ir fiksēta neizpilde </w:t>
      </w:r>
      <w:r w:rsidR="002B3AD7" w:rsidRPr="002B3AD7">
        <w:rPr>
          <w:rFonts w:ascii="Arial Narrow" w:hAnsi="Arial Narrow" w:cstheme="minorHAnsi"/>
        </w:rPr>
        <w:t>114 244</w:t>
      </w:r>
      <w:r w:rsidR="008A3605" w:rsidRPr="002B3AD7">
        <w:rPr>
          <w:rFonts w:ascii="Arial Narrow" w:hAnsi="Arial Narrow" w:cstheme="minorHAnsi"/>
        </w:rPr>
        <w:t xml:space="preserve"> EUR</w:t>
      </w:r>
      <w:r w:rsidR="008A3605">
        <w:rPr>
          <w:rFonts w:ascii="Arial Narrow" w:hAnsi="Arial Narrow" w:cstheme="minorHAnsi"/>
        </w:rPr>
        <w:t xml:space="preserve"> apjomā (no NVD plānotā finansējuma apjoma). Slimnīca ir uzsākusi darbu pie rehabilitācijas komandas darba efektivitātes uzlabošanas. </w:t>
      </w:r>
    </w:p>
    <w:p w14:paraId="2EE4B357" w14:textId="6651BE7A" w:rsidR="00C932D2" w:rsidRPr="00D25AB9" w:rsidRDefault="00C932D2" w:rsidP="00C932D2">
      <w:pPr>
        <w:pStyle w:val="Heading2"/>
        <w:rPr>
          <w:rFonts w:ascii="Arial Narrow" w:hAnsi="Arial Narrow" w:cstheme="minorHAnsi"/>
        </w:rPr>
      </w:pPr>
      <w:r w:rsidRPr="00D25AB9">
        <w:rPr>
          <w:rFonts w:ascii="Arial Narrow" w:hAnsi="Arial Narrow" w:cstheme="minorHAnsi"/>
        </w:rPr>
        <w:t>Citi pakalpojumi</w:t>
      </w:r>
    </w:p>
    <w:p w14:paraId="4512B378" w14:textId="57851177" w:rsidR="00C932D2" w:rsidRPr="00D25AB9" w:rsidRDefault="00C932D2" w:rsidP="00C932D2">
      <w:pPr>
        <w:rPr>
          <w:rFonts w:ascii="Arial Narrow" w:hAnsi="Arial Narrow" w:cstheme="minorHAnsi"/>
        </w:rPr>
      </w:pPr>
      <w:r w:rsidRPr="00D25AB9">
        <w:rPr>
          <w:rFonts w:ascii="Arial Narrow" w:hAnsi="Arial Narrow" w:cstheme="minorHAnsi"/>
        </w:rPr>
        <w:t>202</w:t>
      </w:r>
      <w:r w:rsidR="00B76B88" w:rsidRPr="00D25AB9">
        <w:rPr>
          <w:rFonts w:ascii="Arial Narrow" w:hAnsi="Arial Narrow" w:cstheme="minorHAnsi"/>
        </w:rPr>
        <w:t>5</w:t>
      </w:r>
      <w:r w:rsidRPr="00D25AB9">
        <w:rPr>
          <w:rFonts w:ascii="Arial Narrow" w:hAnsi="Arial Narrow" w:cstheme="minorHAnsi"/>
        </w:rPr>
        <w:t xml:space="preserve">. gada </w:t>
      </w:r>
      <w:r w:rsidR="002D4957" w:rsidRPr="00D25AB9">
        <w:rPr>
          <w:rFonts w:ascii="Arial Narrow" w:hAnsi="Arial Narrow" w:cstheme="minorHAnsi"/>
        </w:rPr>
        <w:t xml:space="preserve">sešos mēnešos </w:t>
      </w:r>
      <w:r w:rsidRPr="00D25AB9">
        <w:rPr>
          <w:rFonts w:ascii="Arial Narrow" w:hAnsi="Arial Narrow" w:cstheme="minorHAnsi"/>
        </w:rPr>
        <w:t xml:space="preserve">nodrošināti arī maksas veselības aprūpes pakalpojumi – valsts iestāžu pieprasījumi, veselības pārbaudes transportlīdzekļa vadīšanai, veselības pārbaudes stājoties darbā un citi medicīniskie maksas pakalpojumi </w:t>
      </w:r>
      <w:r w:rsidRPr="00D25AB9">
        <w:rPr>
          <w:rFonts w:ascii="Arial Narrow" w:hAnsi="Arial Narrow" w:cstheme="minorHAnsi"/>
          <w:color w:val="000000" w:themeColor="text1"/>
        </w:rPr>
        <w:t xml:space="preserve">– </w:t>
      </w:r>
      <w:r w:rsidR="002D4957" w:rsidRPr="00D25AB9">
        <w:rPr>
          <w:rFonts w:ascii="Arial Narrow" w:hAnsi="Arial Narrow" w:cstheme="minorHAnsi"/>
          <w:color w:val="000000" w:themeColor="text1"/>
        </w:rPr>
        <w:t>388</w:t>
      </w:r>
      <w:r w:rsidRPr="00D25AB9">
        <w:rPr>
          <w:rFonts w:ascii="Arial Narrow" w:hAnsi="Arial Narrow" w:cstheme="minorHAnsi"/>
          <w:color w:val="000000" w:themeColor="text1"/>
        </w:rPr>
        <w:t xml:space="preserve"> </w:t>
      </w:r>
      <w:r w:rsidRPr="00D25AB9">
        <w:rPr>
          <w:rFonts w:ascii="Arial Narrow" w:hAnsi="Arial Narrow" w:cstheme="minorHAnsi"/>
        </w:rPr>
        <w:t xml:space="preserve">reizes, kas nodrošinājis </w:t>
      </w:r>
      <w:r w:rsidR="009B3E61" w:rsidRPr="00D25AB9">
        <w:rPr>
          <w:rFonts w:ascii="Arial Narrow" w:hAnsi="Arial Narrow" w:cstheme="minorHAnsi"/>
        </w:rPr>
        <w:t>17</w:t>
      </w:r>
      <w:r w:rsidR="00FA347B" w:rsidRPr="00D25AB9">
        <w:rPr>
          <w:rFonts w:ascii="Arial Narrow" w:hAnsi="Arial Narrow" w:cstheme="minorHAnsi"/>
        </w:rPr>
        <w:t xml:space="preserve"> </w:t>
      </w:r>
      <w:r w:rsidR="009B3E61" w:rsidRPr="00D25AB9">
        <w:rPr>
          <w:rFonts w:ascii="Arial Narrow" w:hAnsi="Arial Narrow" w:cstheme="minorHAnsi"/>
        </w:rPr>
        <w:t>674</w:t>
      </w:r>
      <w:r w:rsidRPr="00D25AB9">
        <w:rPr>
          <w:rFonts w:ascii="Arial Narrow" w:hAnsi="Arial Narrow" w:cstheme="minorHAnsi"/>
        </w:rPr>
        <w:t xml:space="preserve"> EUR lielus ieņēmumus.</w:t>
      </w:r>
    </w:p>
    <w:p w14:paraId="571361C1" w14:textId="75BE37FB" w:rsidR="282F2BB0" w:rsidRPr="00D25AB9" w:rsidRDefault="282F2BB0">
      <w:pPr>
        <w:rPr>
          <w:rFonts w:ascii="Arial Narrow" w:hAnsi="Arial Narrow" w:cstheme="minorHAnsi"/>
          <w:color w:val="000000" w:themeColor="text1"/>
        </w:rPr>
      </w:pPr>
      <w:r w:rsidRPr="00A427A4">
        <w:rPr>
          <w:rFonts w:ascii="Arial Narrow" w:hAnsi="Arial Narrow" w:cstheme="minorHAnsi"/>
          <w:color w:val="000000" w:themeColor="text1"/>
        </w:rPr>
        <w:t>2024. gada nogalē izstrādātajā citu pakalpojumu attīstības plānā ir būtiski paplašināts maksas pakalpojumu klāsts, kas nodrošinās daudzveidīgu pakalpojumu pieejamību</w:t>
      </w:r>
      <w:r w:rsidR="00A427A4" w:rsidRPr="00A427A4">
        <w:rPr>
          <w:rFonts w:ascii="Arial Narrow" w:hAnsi="Arial Narrow" w:cstheme="minorHAnsi"/>
          <w:color w:val="000000" w:themeColor="text1"/>
        </w:rPr>
        <w:t>, tai skaitā narkoloģijas profila jomā.</w:t>
      </w:r>
      <w:r w:rsidR="00A427A4">
        <w:rPr>
          <w:rFonts w:ascii="Arial Narrow" w:hAnsi="Arial Narrow" w:cstheme="minorHAnsi"/>
          <w:color w:val="000000" w:themeColor="text1"/>
        </w:rPr>
        <w:t xml:space="preserve"> </w:t>
      </w:r>
    </w:p>
    <w:p w14:paraId="071B5B2C" w14:textId="503E6D7D" w:rsidR="00A179B3" w:rsidRPr="00D25AB9" w:rsidRDefault="00A179B3" w:rsidP="00A179B3">
      <w:pPr>
        <w:rPr>
          <w:rFonts w:ascii="Arial Narrow" w:hAnsi="Arial Narrow" w:cstheme="minorHAnsi"/>
          <w:color w:val="000000" w:themeColor="text1"/>
        </w:rPr>
      </w:pPr>
      <w:r w:rsidRPr="00D25AB9">
        <w:rPr>
          <w:rFonts w:ascii="Arial Narrow" w:hAnsi="Arial Narrow" w:cstheme="minorHAnsi"/>
          <w:color w:val="000000" w:themeColor="text1"/>
        </w:rPr>
        <w:t>Kopumā naturālie rādītāji norāda, ka Slimnīca 202</w:t>
      </w:r>
      <w:r w:rsidR="00D64716" w:rsidRPr="00D25AB9">
        <w:rPr>
          <w:rFonts w:ascii="Arial Narrow" w:hAnsi="Arial Narrow" w:cstheme="minorHAnsi"/>
          <w:color w:val="000000" w:themeColor="text1"/>
        </w:rPr>
        <w:t>5</w:t>
      </w:r>
      <w:r w:rsidRPr="00D25AB9">
        <w:rPr>
          <w:rFonts w:ascii="Arial Narrow" w:hAnsi="Arial Narrow" w:cstheme="minorHAnsi"/>
          <w:color w:val="000000" w:themeColor="text1"/>
        </w:rPr>
        <w:t>.gadā</w:t>
      </w:r>
      <w:r w:rsidR="0066675C" w:rsidRPr="00D25AB9">
        <w:rPr>
          <w:rFonts w:ascii="Arial Narrow" w:hAnsi="Arial Narrow" w:cstheme="minorHAnsi"/>
          <w:color w:val="000000" w:themeColor="text1"/>
        </w:rPr>
        <w:t xml:space="preserve"> sešos mēnešos</w:t>
      </w:r>
      <w:r w:rsidRPr="00D25AB9">
        <w:rPr>
          <w:rFonts w:ascii="Arial Narrow" w:hAnsi="Arial Narrow" w:cstheme="minorHAnsi"/>
          <w:color w:val="000000" w:themeColor="text1"/>
        </w:rPr>
        <w:t xml:space="preserve"> darbojās saskaņā ar plānu, nodrošinot efektīvu resursu izmantošanu.</w:t>
      </w:r>
    </w:p>
    <w:p w14:paraId="7BD4BCFC" w14:textId="6B1E8E8F" w:rsidR="00C912BF" w:rsidRPr="00D25AB9" w:rsidRDefault="00C912BF" w:rsidP="00A179B3">
      <w:pPr>
        <w:pStyle w:val="Heading1"/>
        <w:rPr>
          <w:rStyle w:val="IntenseEmphasis"/>
          <w:rFonts w:ascii="Arial Narrow" w:hAnsi="Arial Narrow" w:cstheme="minorHAnsi"/>
          <w:b w:val="0"/>
          <w:bCs w:val="0"/>
          <w:caps/>
          <w:color w:val="FFFFFF" w:themeColor="background1"/>
          <w:spacing w:val="15"/>
        </w:rPr>
      </w:pPr>
      <w:r w:rsidRPr="00D25AB9">
        <w:rPr>
          <w:rStyle w:val="IntenseEmphasis"/>
          <w:rFonts w:ascii="Arial Narrow" w:hAnsi="Arial Narrow" w:cstheme="minorHAnsi"/>
          <w:b w:val="0"/>
          <w:bCs w:val="0"/>
          <w:caps/>
          <w:color w:val="FFFFFF" w:themeColor="background1"/>
          <w:spacing w:val="15"/>
        </w:rPr>
        <w:t>Finanšu situācija</w:t>
      </w:r>
    </w:p>
    <w:p w14:paraId="5F5C83EE" w14:textId="43B8E827" w:rsidR="00B97204" w:rsidRPr="00D25AB9" w:rsidRDefault="00B97204" w:rsidP="001423F5">
      <w:pPr>
        <w:rPr>
          <w:rFonts w:ascii="Arial Narrow" w:hAnsi="Arial Narrow" w:cstheme="minorHAnsi"/>
        </w:rPr>
      </w:pPr>
      <w:r w:rsidRPr="00D25AB9">
        <w:rPr>
          <w:rFonts w:ascii="Arial Narrow" w:hAnsi="Arial Narrow" w:cstheme="minorHAnsi"/>
        </w:rPr>
        <w:t>Ņemot vērā, ka pārskata periods noslēdzies ar zaudējumiem, tas negatīvi ietekmējis finanšu rādītājus</w:t>
      </w:r>
      <w:r w:rsidR="00A427A4">
        <w:rPr>
          <w:rFonts w:ascii="Arial Narrow" w:hAnsi="Arial Narrow" w:cstheme="minorHAnsi"/>
        </w:rPr>
        <w:t xml:space="preserve">. Slimnīca </w:t>
      </w:r>
      <w:r w:rsidRPr="00D25AB9">
        <w:rPr>
          <w:rFonts w:ascii="Arial Narrow" w:hAnsi="Arial Narrow" w:cstheme="minorHAnsi"/>
        </w:rPr>
        <w:t xml:space="preserve"> </w:t>
      </w:r>
      <w:r w:rsidR="008F5CC2" w:rsidRPr="00D16A7B">
        <w:rPr>
          <w:rFonts w:ascii="Arial Narrow" w:hAnsi="Arial Narrow" w:cstheme="minorHAnsi"/>
        </w:rPr>
        <w:t>ietekm</w:t>
      </w:r>
      <w:r w:rsidR="00A427A4" w:rsidRPr="00D16A7B">
        <w:rPr>
          <w:rFonts w:ascii="Arial Narrow" w:hAnsi="Arial Narrow" w:cstheme="minorHAnsi"/>
        </w:rPr>
        <w:t>i vērtē kā</w:t>
      </w:r>
      <w:r w:rsidR="008F5CC2" w:rsidRPr="00D16A7B">
        <w:rPr>
          <w:rFonts w:ascii="Arial Narrow" w:hAnsi="Arial Narrow" w:cstheme="minorHAnsi"/>
        </w:rPr>
        <w:t xml:space="preserve"> nebūtisk</w:t>
      </w:r>
      <w:r w:rsidR="00A427A4" w:rsidRPr="00D16A7B">
        <w:rPr>
          <w:rFonts w:ascii="Arial Narrow" w:hAnsi="Arial Narrow" w:cstheme="minorHAnsi"/>
        </w:rPr>
        <w:t>u, bet turpinās darbu pakalpojumu izpildes veicināšanai, lai nodrošinātu sabalansētus finanšu rādītājus</w:t>
      </w:r>
      <w:r w:rsidRPr="00D16A7B">
        <w:rPr>
          <w:rFonts w:ascii="Arial Narrow" w:hAnsi="Arial Narrow" w:cstheme="minorHAnsi"/>
        </w:rPr>
        <w:t>.</w:t>
      </w:r>
      <w:r w:rsidRPr="00D25AB9">
        <w:rPr>
          <w:rFonts w:ascii="Arial Narrow" w:hAnsi="Arial Narrow" w:cstheme="minorHAnsi"/>
        </w:rPr>
        <w:t xml:space="preserve"> </w:t>
      </w:r>
    </w:p>
    <w:p w14:paraId="37BCA584" w14:textId="26F34BA2" w:rsidR="001423F5" w:rsidRPr="00D25AB9" w:rsidRDefault="001423F5" w:rsidP="001423F5">
      <w:pPr>
        <w:rPr>
          <w:rFonts w:ascii="Arial Narrow" w:hAnsi="Arial Narrow" w:cstheme="minorHAnsi"/>
        </w:rPr>
      </w:pPr>
      <w:r w:rsidRPr="00D25AB9">
        <w:rPr>
          <w:rFonts w:ascii="Arial Narrow" w:hAnsi="Arial Narrow" w:cstheme="minorHAnsi"/>
        </w:rPr>
        <w:t>Slimnīca 202</w:t>
      </w:r>
      <w:r w:rsidR="006B392E" w:rsidRPr="00D25AB9">
        <w:rPr>
          <w:rFonts w:ascii="Arial Narrow" w:hAnsi="Arial Narrow" w:cstheme="minorHAnsi"/>
        </w:rPr>
        <w:t>5</w:t>
      </w:r>
      <w:r w:rsidRPr="00D25AB9">
        <w:rPr>
          <w:rFonts w:ascii="Arial Narrow" w:hAnsi="Arial Narrow" w:cstheme="minorHAnsi"/>
        </w:rPr>
        <w:t xml:space="preserve">.gadā </w:t>
      </w:r>
      <w:r w:rsidR="0066675C" w:rsidRPr="00D25AB9">
        <w:rPr>
          <w:rFonts w:ascii="Arial Narrow" w:hAnsi="Arial Narrow" w:cstheme="minorHAnsi"/>
          <w:color w:val="000000" w:themeColor="text1"/>
        </w:rPr>
        <w:t xml:space="preserve">sešos mēnešos </w:t>
      </w:r>
      <w:r w:rsidRPr="00D25AB9">
        <w:rPr>
          <w:rFonts w:ascii="Arial Narrow" w:hAnsi="Arial Narrow" w:cstheme="minorHAnsi"/>
        </w:rPr>
        <w:t xml:space="preserve">ir saglabājusi finansiālo stabilitāti, savukārt zema rentabilitāte atspoguļo tās darbības specifiku – pakalpojumu nodrošināšanu bez mērķa gūt peļņu. </w:t>
      </w:r>
    </w:p>
    <w:tbl>
      <w:tblPr>
        <w:tblStyle w:val="GridTable1Light-Accent2"/>
        <w:tblW w:w="9634" w:type="dxa"/>
        <w:tblLayout w:type="fixed"/>
        <w:tblLook w:val="06A0" w:firstRow="1" w:lastRow="0" w:firstColumn="1" w:lastColumn="0" w:noHBand="1" w:noVBand="1"/>
      </w:tblPr>
      <w:tblGrid>
        <w:gridCol w:w="4248"/>
        <w:gridCol w:w="1795"/>
        <w:gridCol w:w="1795"/>
        <w:gridCol w:w="1796"/>
      </w:tblGrid>
      <w:tr w:rsidR="00B467A6" w:rsidRPr="00D25AB9" w14:paraId="1F357009" w14:textId="77777777" w:rsidTr="007F4A1A">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4248" w:type="dxa"/>
            <w:hideMark/>
          </w:tcPr>
          <w:p w14:paraId="0EEE78D4" w14:textId="77777777" w:rsidR="00B467A6" w:rsidRPr="00D25AB9" w:rsidRDefault="00B467A6" w:rsidP="001423F5">
            <w:pPr>
              <w:spacing w:before="40" w:after="40"/>
              <w:jc w:val="center"/>
              <w:rPr>
                <w:rFonts w:ascii="Arial Narrow" w:hAnsi="Arial Narrow" w:cstheme="minorHAnsi"/>
                <w:sz w:val="22"/>
                <w:szCs w:val="22"/>
              </w:rPr>
            </w:pPr>
            <w:r w:rsidRPr="00D25AB9">
              <w:rPr>
                <w:rFonts w:ascii="Arial Narrow" w:hAnsi="Arial Narrow" w:cstheme="minorHAnsi"/>
                <w:sz w:val="22"/>
                <w:szCs w:val="22"/>
              </w:rPr>
              <w:t>Rādītāji</w:t>
            </w:r>
          </w:p>
        </w:tc>
        <w:tc>
          <w:tcPr>
            <w:tcW w:w="1795" w:type="dxa"/>
            <w:hideMark/>
          </w:tcPr>
          <w:p w14:paraId="64F117AD" w14:textId="3E586F3A" w:rsidR="00B467A6" w:rsidRPr="00D25AB9" w:rsidRDefault="00D64716" w:rsidP="00D6471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2024. gads</w:t>
            </w:r>
          </w:p>
        </w:tc>
        <w:tc>
          <w:tcPr>
            <w:tcW w:w="1795" w:type="dxa"/>
          </w:tcPr>
          <w:p w14:paraId="102629EF" w14:textId="1E876BFD" w:rsidR="00B467A6" w:rsidRPr="00D25AB9" w:rsidRDefault="00B97204" w:rsidP="001423F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2025</w:t>
            </w:r>
            <w:r w:rsidR="00B467A6" w:rsidRPr="00D25AB9">
              <w:rPr>
                <w:rFonts w:ascii="Arial Narrow" w:hAnsi="Arial Narrow" w:cstheme="minorHAnsi"/>
                <w:sz w:val="22"/>
                <w:szCs w:val="22"/>
              </w:rPr>
              <w:t>. gads</w:t>
            </w:r>
            <w:r w:rsidRPr="00D25AB9">
              <w:rPr>
                <w:rFonts w:ascii="Arial Narrow" w:hAnsi="Arial Narrow" w:cstheme="minorHAnsi"/>
                <w:sz w:val="22"/>
                <w:szCs w:val="22"/>
              </w:rPr>
              <w:t xml:space="preserve"> </w:t>
            </w:r>
            <w:r w:rsidR="0066675C" w:rsidRPr="00D25AB9">
              <w:rPr>
                <w:rFonts w:ascii="Arial Narrow" w:hAnsi="Arial Narrow" w:cstheme="minorHAnsi"/>
                <w:color w:val="000000" w:themeColor="text1"/>
              </w:rPr>
              <w:t>sešos mēnešos</w:t>
            </w:r>
          </w:p>
        </w:tc>
        <w:tc>
          <w:tcPr>
            <w:tcW w:w="1796" w:type="dxa"/>
          </w:tcPr>
          <w:p w14:paraId="23236063" w14:textId="64A59F79" w:rsidR="00B467A6" w:rsidRPr="00D25AB9" w:rsidRDefault="00B467A6" w:rsidP="004B1DC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Novirze pret 2024.gad</w:t>
            </w:r>
            <w:r w:rsidR="004B1DCB" w:rsidRPr="00D25AB9">
              <w:rPr>
                <w:rFonts w:ascii="Arial Narrow" w:hAnsi="Arial Narrow" w:cstheme="minorHAnsi"/>
                <w:sz w:val="22"/>
                <w:szCs w:val="22"/>
              </w:rPr>
              <w:t>u</w:t>
            </w:r>
          </w:p>
        </w:tc>
      </w:tr>
      <w:tr w:rsidR="00B467A6" w:rsidRPr="00D25AB9" w14:paraId="3A328E63" w14:textId="77777777" w:rsidTr="007F4A1A">
        <w:trPr>
          <w:trHeight w:val="213"/>
        </w:trPr>
        <w:tc>
          <w:tcPr>
            <w:cnfStyle w:val="001000000000" w:firstRow="0" w:lastRow="0" w:firstColumn="1" w:lastColumn="0" w:oddVBand="0" w:evenVBand="0" w:oddHBand="0" w:evenHBand="0" w:firstRowFirstColumn="0" w:firstRowLastColumn="0" w:lastRowFirstColumn="0" w:lastRowLastColumn="0"/>
            <w:tcW w:w="4248" w:type="dxa"/>
            <w:hideMark/>
          </w:tcPr>
          <w:p w14:paraId="6017DA57" w14:textId="77777777" w:rsidR="00B467A6" w:rsidRPr="00D25AB9" w:rsidRDefault="00B467A6"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Kopējais likviditātes rādītājs</w:t>
            </w:r>
          </w:p>
        </w:tc>
        <w:tc>
          <w:tcPr>
            <w:tcW w:w="1795" w:type="dxa"/>
          </w:tcPr>
          <w:p w14:paraId="0E2029FA" w14:textId="7F72165A" w:rsidR="00B467A6" w:rsidRPr="00D25AB9"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2,19</w:t>
            </w:r>
          </w:p>
        </w:tc>
        <w:tc>
          <w:tcPr>
            <w:tcW w:w="1795" w:type="dxa"/>
          </w:tcPr>
          <w:p w14:paraId="02F724A8" w14:textId="0362BEF8" w:rsidR="00B467A6" w:rsidRPr="00D25AB9" w:rsidRDefault="00B13D5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1,39</w:t>
            </w:r>
          </w:p>
        </w:tc>
        <w:tc>
          <w:tcPr>
            <w:tcW w:w="1796" w:type="dxa"/>
          </w:tcPr>
          <w:p w14:paraId="5E45E36C" w14:textId="6F9EE18B" w:rsidR="00B467A6" w:rsidRPr="00D25AB9" w:rsidRDefault="00B13D52" w:rsidP="00AE6EF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-0,8</w:t>
            </w:r>
          </w:p>
        </w:tc>
      </w:tr>
      <w:tr w:rsidR="00B467A6" w:rsidRPr="00D25AB9" w14:paraId="2B42AC02" w14:textId="77777777" w:rsidTr="007F4A1A">
        <w:trPr>
          <w:trHeight w:val="269"/>
        </w:trPr>
        <w:tc>
          <w:tcPr>
            <w:cnfStyle w:val="001000000000" w:firstRow="0" w:lastRow="0" w:firstColumn="1" w:lastColumn="0" w:oddVBand="0" w:evenVBand="0" w:oddHBand="0" w:evenHBand="0" w:firstRowFirstColumn="0" w:firstRowLastColumn="0" w:lastRowFirstColumn="0" w:lastRowLastColumn="0"/>
            <w:tcW w:w="4248" w:type="dxa"/>
            <w:hideMark/>
          </w:tcPr>
          <w:p w14:paraId="408D48E0" w14:textId="77777777" w:rsidR="00B467A6" w:rsidRPr="00D25AB9" w:rsidRDefault="00B467A6"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lastRenderedPageBreak/>
              <w:t>Pašu kapitāla rentabilitāte, ROE, %</w:t>
            </w:r>
          </w:p>
        </w:tc>
        <w:tc>
          <w:tcPr>
            <w:tcW w:w="1795" w:type="dxa"/>
          </w:tcPr>
          <w:p w14:paraId="07319C36" w14:textId="1467475B" w:rsidR="00B467A6" w:rsidRPr="00D25AB9"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0,41</w:t>
            </w:r>
          </w:p>
        </w:tc>
        <w:tc>
          <w:tcPr>
            <w:tcW w:w="1795" w:type="dxa"/>
          </w:tcPr>
          <w:p w14:paraId="15426723" w14:textId="7D667D42" w:rsidR="00B467A6" w:rsidRPr="00D25AB9" w:rsidRDefault="00B13D5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-1,39</w:t>
            </w:r>
          </w:p>
        </w:tc>
        <w:tc>
          <w:tcPr>
            <w:tcW w:w="1796" w:type="dxa"/>
          </w:tcPr>
          <w:p w14:paraId="2F7B60F0" w14:textId="5806A9EF" w:rsidR="00B467A6" w:rsidRPr="00D25AB9" w:rsidRDefault="00B13D52" w:rsidP="00DC33C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-1,8</w:t>
            </w:r>
          </w:p>
        </w:tc>
      </w:tr>
      <w:tr w:rsidR="00B467A6" w:rsidRPr="00D25AB9" w14:paraId="0B1979C2" w14:textId="77777777" w:rsidTr="007F4A1A">
        <w:trPr>
          <w:trHeight w:val="273"/>
        </w:trPr>
        <w:tc>
          <w:tcPr>
            <w:cnfStyle w:val="001000000000" w:firstRow="0" w:lastRow="0" w:firstColumn="1" w:lastColumn="0" w:oddVBand="0" w:evenVBand="0" w:oddHBand="0" w:evenHBand="0" w:firstRowFirstColumn="0" w:firstRowLastColumn="0" w:lastRowFirstColumn="0" w:lastRowLastColumn="0"/>
            <w:tcW w:w="4248" w:type="dxa"/>
            <w:hideMark/>
          </w:tcPr>
          <w:p w14:paraId="37CD93E1" w14:textId="77777777" w:rsidR="00B467A6" w:rsidRPr="00D25AB9" w:rsidRDefault="00B467A6"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Aktīvu rentabilitāte, ROA, %</w:t>
            </w:r>
          </w:p>
        </w:tc>
        <w:tc>
          <w:tcPr>
            <w:tcW w:w="1795" w:type="dxa"/>
          </w:tcPr>
          <w:p w14:paraId="64AEFFB2" w14:textId="7C814791" w:rsidR="00B467A6" w:rsidRPr="00D25AB9"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0,33</w:t>
            </w:r>
          </w:p>
        </w:tc>
        <w:tc>
          <w:tcPr>
            <w:tcW w:w="1795" w:type="dxa"/>
          </w:tcPr>
          <w:p w14:paraId="28942B27" w14:textId="4B72281B" w:rsidR="00B467A6" w:rsidRPr="00D25AB9" w:rsidRDefault="00B13D5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-1,09</w:t>
            </w:r>
          </w:p>
        </w:tc>
        <w:tc>
          <w:tcPr>
            <w:tcW w:w="1796" w:type="dxa"/>
          </w:tcPr>
          <w:p w14:paraId="574848B0" w14:textId="058F4D00" w:rsidR="00B467A6" w:rsidRPr="00D25AB9" w:rsidRDefault="00B13D52" w:rsidP="00DC33C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-1,42</w:t>
            </w:r>
          </w:p>
        </w:tc>
      </w:tr>
      <w:tr w:rsidR="00B467A6" w:rsidRPr="00D25AB9" w14:paraId="32088A22" w14:textId="77777777" w:rsidTr="007F4A1A">
        <w:trPr>
          <w:trHeight w:val="263"/>
        </w:trPr>
        <w:tc>
          <w:tcPr>
            <w:cnfStyle w:val="001000000000" w:firstRow="0" w:lastRow="0" w:firstColumn="1" w:lastColumn="0" w:oddVBand="0" w:evenVBand="0" w:oddHBand="0" w:evenHBand="0" w:firstRowFirstColumn="0" w:firstRowLastColumn="0" w:lastRowFirstColumn="0" w:lastRowLastColumn="0"/>
            <w:tcW w:w="4248" w:type="dxa"/>
            <w:hideMark/>
          </w:tcPr>
          <w:p w14:paraId="6B60B794" w14:textId="77777777" w:rsidR="00B467A6" w:rsidRPr="00D25AB9" w:rsidRDefault="00B467A6"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Bruto peļņas rentabilitāte, %</w:t>
            </w:r>
          </w:p>
        </w:tc>
        <w:tc>
          <w:tcPr>
            <w:tcW w:w="1795" w:type="dxa"/>
          </w:tcPr>
          <w:p w14:paraId="786F9A21" w14:textId="2782281D" w:rsidR="00B467A6" w:rsidRPr="00D25AB9"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2,81</w:t>
            </w:r>
          </w:p>
        </w:tc>
        <w:tc>
          <w:tcPr>
            <w:tcW w:w="1795" w:type="dxa"/>
          </w:tcPr>
          <w:p w14:paraId="6C78DD72" w14:textId="47F98076" w:rsidR="00B467A6" w:rsidRPr="00D25AB9" w:rsidRDefault="00BC7F53"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1,69</w:t>
            </w:r>
          </w:p>
        </w:tc>
        <w:tc>
          <w:tcPr>
            <w:tcW w:w="1796" w:type="dxa"/>
          </w:tcPr>
          <w:p w14:paraId="73D4492F" w14:textId="098CE80E" w:rsidR="00B467A6" w:rsidRPr="00D25AB9" w:rsidRDefault="00BC7F53"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-1,12</w:t>
            </w:r>
          </w:p>
        </w:tc>
      </w:tr>
      <w:tr w:rsidR="00B467A6" w:rsidRPr="00D25AB9" w14:paraId="665F13C6" w14:textId="77777777" w:rsidTr="007F4A1A">
        <w:trPr>
          <w:trHeight w:val="269"/>
        </w:trPr>
        <w:tc>
          <w:tcPr>
            <w:cnfStyle w:val="001000000000" w:firstRow="0" w:lastRow="0" w:firstColumn="1" w:lastColumn="0" w:oddVBand="0" w:evenVBand="0" w:oddHBand="0" w:evenHBand="0" w:firstRowFirstColumn="0" w:firstRowLastColumn="0" w:lastRowFirstColumn="0" w:lastRowLastColumn="0"/>
            <w:tcW w:w="4248" w:type="dxa"/>
            <w:hideMark/>
          </w:tcPr>
          <w:p w14:paraId="0CA81026" w14:textId="77777777" w:rsidR="00B467A6" w:rsidRPr="00D25AB9" w:rsidRDefault="00B467A6"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Neto peļņas rentabilitāte, %</w:t>
            </w:r>
          </w:p>
        </w:tc>
        <w:tc>
          <w:tcPr>
            <w:tcW w:w="1795" w:type="dxa"/>
          </w:tcPr>
          <w:p w14:paraId="26803475" w14:textId="4DB632EB" w:rsidR="00B467A6" w:rsidRPr="00D25AB9"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0,60</w:t>
            </w:r>
          </w:p>
        </w:tc>
        <w:tc>
          <w:tcPr>
            <w:tcW w:w="1795" w:type="dxa"/>
          </w:tcPr>
          <w:p w14:paraId="1F693E41" w14:textId="32CA5947" w:rsidR="00B467A6" w:rsidRPr="00D25AB9" w:rsidRDefault="00BC7F53"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-3,77</w:t>
            </w:r>
          </w:p>
        </w:tc>
        <w:tc>
          <w:tcPr>
            <w:tcW w:w="1796" w:type="dxa"/>
          </w:tcPr>
          <w:p w14:paraId="2385FD9C" w14:textId="6AB4972E" w:rsidR="00B467A6" w:rsidRPr="00D25AB9" w:rsidRDefault="00BC7F53"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-4,37</w:t>
            </w:r>
          </w:p>
        </w:tc>
      </w:tr>
      <w:tr w:rsidR="00B467A6" w:rsidRPr="00D25AB9" w14:paraId="03AB26EF" w14:textId="77777777" w:rsidTr="007F4A1A">
        <w:trPr>
          <w:trHeight w:val="284"/>
        </w:trPr>
        <w:tc>
          <w:tcPr>
            <w:cnfStyle w:val="001000000000" w:firstRow="0" w:lastRow="0" w:firstColumn="1" w:lastColumn="0" w:oddVBand="0" w:evenVBand="0" w:oddHBand="0" w:evenHBand="0" w:firstRowFirstColumn="0" w:firstRowLastColumn="0" w:lastRowFirstColumn="0" w:lastRowLastColumn="0"/>
            <w:tcW w:w="4248" w:type="dxa"/>
            <w:hideMark/>
          </w:tcPr>
          <w:p w14:paraId="6886856B" w14:textId="77777777" w:rsidR="00B467A6" w:rsidRPr="00D25AB9" w:rsidRDefault="00B467A6"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EBIDTA rentabilitāte, %</w:t>
            </w:r>
          </w:p>
        </w:tc>
        <w:tc>
          <w:tcPr>
            <w:tcW w:w="1795" w:type="dxa"/>
          </w:tcPr>
          <w:p w14:paraId="0BB948B2" w14:textId="61CC3E95" w:rsidR="00B467A6" w:rsidRPr="00D25AB9"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6,00</w:t>
            </w:r>
          </w:p>
        </w:tc>
        <w:tc>
          <w:tcPr>
            <w:tcW w:w="1795" w:type="dxa"/>
          </w:tcPr>
          <w:p w14:paraId="5E267A94" w14:textId="24B76417" w:rsidR="00B467A6" w:rsidRPr="00D25AB9" w:rsidRDefault="00BC7F53"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1,43</w:t>
            </w:r>
          </w:p>
        </w:tc>
        <w:tc>
          <w:tcPr>
            <w:tcW w:w="1796" w:type="dxa"/>
          </w:tcPr>
          <w:p w14:paraId="05395629" w14:textId="18A57993" w:rsidR="00B467A6" w:rsidRPr="00D25AB9" w:rsidRDefault="00BC7F53"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-4,57</w:t>
            </w:r>
          </w:p>
        </w:tc>
      </w:tr>
      <w:tr w:rsidR="00B467A6" w:rsidRPr="00D25AB9" w14:paraId="3B073147" w14:textId="77777777" w:rsidTr="007F4A1A">
        <w:trPr>
          <w:trHeight w:val="275"/>
        </w:trPr>
        <w:tc>
          <w:tcPr>
            <w:cnfStyle w:val="001000000000" w:firstRow="0" w:lastRow="0" w:firstColumn="1" w:lastColumn="0" w:oddVBand="0" w:evenVBand="0" w:oddHBand="0" w:evenHBand="0" w:firstRowFirstColumn="0" w:firstRowLastColumn="0" w:lastRowFirstColumn="0" w:lastRowLastColumn="0"/>
            <w:tcW w:w="4248" w:type="dxa"/>
          </w:tcPr>
          <w:p w14:paraId="58014F9A" w14:textId="77777777" w:rsidR="00B467A6" w:rsidRPr="00D25AB9" w:rsidRDefault="00B467A6" w:rsidP="00847992">
            <w:pPr>
              <w:spacing w:before="40" w:after="40"/>
              <w:rPr>
                <w:rFonts w:ascii="Arial Narrow" w:hAnsi="Arial Narrow" w:cstheme="minorHAnsi"/>
                <w:b w:val="0"/>
                <w:bCs w:val="0"/>
                <w:sz w:val="22"/>
                <w:szCs w:val="22"/>
              </w:rPr>
            </w:pPr>
            <w:r w:rsidRPr="00D25AB9">
              <w:rPr>
                <w:rFonts w:ascii="Arial Narrow" w:hAnsi="Arial Narrow" w:cstheme="minorHAnsi"/>
                <w:b w:val="0"/>
                <w:bCs w:val="0"/>
                <w:sz w:val="22"/>
                <w:szCs w:val="22"/>
              </w:rPr>
              <w:t>Saistību īpatsvars bilancē, %</w:t>
            </w:r>
          </w:p>
        </w:tc>
        <w:tc>
          <w:tcPr>
            <w:tcW w:w="1795" w:type="dxa"/>
          </w:tcPr>
          <w:p w14:paraId="4557AA4D" w14:textId="1BC773E7" w:rsidR="00B467A6" w:rsidRPr="00D25AB9"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21,00</w:t>
            </w:r>
          </w:p>
        </w:tc>
        <w:tc>
          <w:tcPr>
            <w:tcW w:w="1795" w:type="dxa"/>
          </w:tcPr>
          <w:p w14:paraId="4F2D2044" w14:textId="2C4ABDA7" w:rsidR="00B467A6" w:rsidRPr="00D25AB9" w:rsidRDefault="00BC7F53"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22,00</w:t>
            </w:r>
          </w:p>
        </w:tc>
        <w:tc>
          <w:tcPr>
            <w:tcW w:w="1796" w:type="dxa"/>
          </w:tcPr>
          <w:p w14:paraId="113BB7CF" w14:textId="5F7BD296" w:rsidR="004B1DCB" w:rsidRPr="00D25AB9" w:rsidRDefault="004B1DCB" w:rsidP="004B1DC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25AB9">
              <w:rPr>
                <w:rFonts w:ascii="Arial Narrow" w:hAnsi="Arial Narrow" w:cstheme="minorHAnsi"/>
                <w:sz w:val="22"/>
                <w:szCs w:val="22"/>
              </w:rPr>
              <w:t>1,00</w:t>
            </w:r>
          </w:p>
        </w:tc>
      </w:tr>
    </w:tbl>
    <w:p w14:paraId="24AF2E4A" w14:textId="46D3396A" w:rsidR="00B467A6" w:rsidRPr="00D25AB9" w:rsidRDefault="00B467A6" w:rsidP="00B467A6">
      <w:pPr>
        <w:rPr>
          <w:rFonts w:ascii="Arial Narrow" w:hAnsi="Arial Narrow" w:cstheme="minorHAnsi"/>
        </w:rPr>
      </w:pPr>
      <w:r w:rsidRPr="00D25AB9">
        <w:rPr>
          <w:rFonts w:ascii="Arial Narrow" w:hAnsi="Arial Narrow" w:cstheme="minorHAnsi"/>
        </w:rPr>
        <w:t xml:space="preserve">Rentabilitātes kritums (ROE, ROA, bruto un neto peļņas rentabilitāte) norāda, ka </w:t>
      </w:r>
      <w:r w:rsidR="001423F5" w:rsidRPr="00D25AB9">
        <w:rPr>
          <w:rFonts w:ascii="Arial Narrow" w:hAnsi="Arial Narrow" w:cstheme="minorHAnsi"/>
        </w:rPr>
        <w:t>S</w:t>
      </w:r>
      <w:r w:rsidRPr="00D25AB9">
        <w:rPr>
          <w:rFonts w:ascii="Arial Narrow" w:hAnsi="Arial Narrow" w:cstheme="minorHAnsi"/>
        </w:rPr>
        <w:t>limnīca</w:t>
      </w:r>
      <w:r w:rsidR="001423F5" w:rsidRPr="00D25AB9">
        <w:rPr>
          <w:rFonts w:ascii="Arial Narrow" w:hAnsi="Arial Narrow" w:cstheme="minorHAnsi"/>
        </w:rPr>
        <w:t xml:space="preserve"> nodrošināja veselības aprūpes pakalpojumu sniegšanu pēc pašizmaksas, kas atbilst valsts apmaksāto pakalpojumu sniegšanas principiem.</w:t>
      </w:r>
    </w:p>
    <w:p w14:paraId="7363AB3E" w14:textId="33966C7A" w:rsidR="00B467A6" w:rsidRPr="00D25AB9" w:rsidRDefault="00B467A6" w:rsidP="00B467A6">
      <w:pPr>
        <w:rPr>
          <w:rFonts w:ascii="Arial Narrow" w:hAnsi="Arial Narrow" w:cstheme="minorHAnsi"/>
        </w:rPr>
      </w:pPr>
      <w:r w:rsidRPr="00D25AB9">
        <w:rPr>
          <w:rFonts w:ascii="Arial Narrow" w:hAnsi="Arial Narrow" w:cstheme="minorHAnsi"/>
        </w:rPr>
        <w:t xml:space="preserve">EBITDA rentabilitātes samazinājums </w:t>
      </w:r>
      <w:r w:rsidR="001423F5" w:rsidRPr="00D25AB9">
        <w:rPr>
          <w:rFonts w:ascii="Arial Narrow" w:hAnsi="Arial Narrow" w:cstheme="minorHAnsi"/>
        </w:rPr>
        <w:t xml:space="preserve">norāda </w:t>
      </w:r>
      <w:r w:rsidRPr="00D25AB9">
        <w:rPr>
          <w:rFonts w:ascii="Arial Narrow" w:hAnsi="Arial Narrow" w:cstheme="minorHAnsi"/>
        </w:rPr>
        <w:t xml:space="preserve">uz pieaugošām ekspluatācijas izmaksām, </w:t>
      </w:r>
      <w:r w:rsidR="001423F5" w:rsidRPr="00D25AB9">
        <w:rPr>
          <w:rFonts w:ascii="Arial Narrow" w:hAnsi="Arial Narrow" w:cstheme="minorHAnsi"/>
        </w:rPr>
        <w:t xml:space="preserve">kas </w:t>
      </w:r>
      <w:r w:rsidR="002D7425" w:rsidRPr="00D25AB9">
        <w:rPr>
          <w:rFonts w:ascii="Arial Narrow" w:hAnsi="Arial Narrow" w:cstheme="minorHAnsi"/>
        </w:rPr>
        <w:t>lielā mērā</w:t>
      </w:r>
      <w:r w:rsidR="001423F5" w:rsidRPr="00D25AB9">
        <w:rPr>
          <w:rFonts w:ascii="Arial Narrow" w:hAnsi="Arial Narrow" w:cstheme="minorHAnsi"/>
        </w:rPr>
        <w:t xml:space="preserve"> saistīts ar </w:t>
      </w:r>
      <w:r w:rsidR="00052B2B" w:rsidRPr="00D25AB9">
        <w:rPr>
          <w:rFonts w:ascii="Arial Narrow" w:hAnsi="Arial Narrow" w:cstheme="minorHAnsi"/>
        </w:rPr>
        <w:t>narkoloģijas profila pakalpojumu ieviešanu</w:t>
      </w:r>
      <w:r w:rsidRPr="00D25AB9">
        <w:rPr>
          <w:rFonts w:ascii="Arial Narrow" w:hAnsi="Arial Narrow" w:cstheme="minorHAnsi"/>
        </w:rPr>
        <w:t>.</w:t>
      </w:r>
      <w:r w:rsidR="002D7425" w:rsidRPr="00D25AB9">
        <w:rPr>
          <w:rFonts w:ascii="Arial Narrow" w:hAnsi="Arial Narrow" w:cstheme="minorHAnsi"/>
        </w:rPr>
        <w:t xml:space="preserve"> </w:t>
      </w:r>
      <w:r w:rsidRPr="00D25AB9">
        <w:rPr>
          <w:rFonts w:ascii="Arial Narrow" w:hAnsi="Arial Narrow" w:cstheme="minorHAnsi"/>
        </w:rPr>
        <w:t>Likviditātes neliels samazinājums nav būtisks un norāda uz stabilu spēju segt īstermiņa saistības.</w:t>
      </w:r>
    </w:p>
    <w:p w14:paraId="53F81675" w14:textId="0E480380" w:rsidR="00FB7031" w:rsidRPr="00D25AB9" w:rsidRDefault="002D7425" w:rsidP="00AA77E9">
      <w:pPr>
        <w:pStyle w:val="Heading2"/>
        <w:rPr>
          <w:rFonts w:ascii="Arial Narrow" w:hAnsi="Arial Narrow" w:cstheme="minorHAnsi"/>
        </w:rPr>
      </w:pPr>
      <w:r w:rsidRPr="00D25AB9">
        <w:rPr>
          <w:rFonts w:ascii="Arial Narrow" w:hAnsi="Arial Narrow" w:cstheme="minorHAnsi"/>
        </w:rPr>
        <w:t xml:space="preserve">Ieņēmumi un izdevumi, </w:t>
      </w:r>
      <w:r w:rsidR="00AA77E9" w:rsidRPr="00D25AB9">
        <w:rPr>
          <w:rFonts w:ascii="Arial Narrow" w:hAnsi="Arial Narrow" w:cstheme="minorHAnsi"/>
        </w:rPr>
        <w:t>darbības rezultāts</w:t>
      </w:r>
    </w:p>
    <w:p w14:paraId="2B6311B3" w14:textId="32060DAC" w:rsidR="00C912BF" w:rsidRPr="00D25AB9" w:rsidRDefault="00C912BF" w:rsidP="00131E43">
      <w:pPr>
        <w:rPr>
          <w:rFonts w:ascii="Arial Narrow" w:hAnsi="Arial Narrow" w:cstheme="minorHAnsi"/>
        </w:rPr>
      </w:pPr>
      <w:r w:rsidRPr="00D25AB9">
        <w:rPr>
          <w:rFonts w:ascii="Arial Narrow" w:hAnsi="Arial Narrow" w:cstheme="minorHAnsi"/>
        </w:rPr>
        <w:t>Slimnīcas ienākum</w:t>
      </w:r>
      <w:r w:rsidR="00F50B00" w:rsidRPr="00D25AB9">
        <w:rPr>
          <w:rFonts w:ascii="Arial Narrow" w:hAnsi="Arial Narrow" w:cstheme="minorHAnsi"/>
        </w:rPr>
        <w:t>us</w:t>
      </w:r>
      <w:r w:rsidRPr="00D25AB9">
        <w:rPr>
          <w:rFonts w:ascii="Arial Narrow" w:hAnsi="Arial Narrow" w:cstheme="minorHAnsi"/>
        </w:rPr>
        <w:t xml:space="preserve"> 202</w:t>
      </w:r>
      <w:r w:rsidR="004B1DCB" w:rsidRPr="00D25AB9">
        <w:rPr>
          <w:rFonts w:ascii="Arial Narrow" w:hAnsi="Arial Narrow" w:cstheme="minorHAnsi"/>
        </w:rPr>
        <w:t>5</w:t>
      </w:r>
      <w:r w:rsidRPr="00D25AB9">
        <w:rPr>
          <w:rFonts w:ascii="Arial Narrow" w:hAnsi="Arial Narrow" w:cstheme="minorHAnsi"/>
        </w:rPr>
        <w:t xml:space="preserve">. gadā </w:t>
      </w:r>
      <w:r w:rsidR="00BC7F53" w:rsidRPr="00D25AB9">
        <w:rPr>
          <w:rFonts w:ascii="Arial Narrow" w:hAnsi="Arial Narrow" w:cstheme="minorHAnsi"/>
        </w:rPr>
        <w:t>6</w:t>
      </w:r>
      <w:r w:rsidR="004B1DCB" w:rsidRPr="00D25AB9">
        <w:rPr>
          <w:rFonts w:ascii="Arial Narrow" w:hAnsi="Arial Narrow" w:cstheme="minorHAnsi"/>
        </w:rPr>
        <w:t xml:space="preserve"> mēnešos</w:t>
      </w:r>
      <w:r w:rsidR="00E83EF4" w:rsidRPr="00D25AB9">
        <w:rPr>
          <w:rFonts w:ascii="Arial Narrow" w:hAnsi="Arial Narrow" w:cstheme="minorHAnsi"/>
        </w:rPr>
        <w:t>,</w:t>
      </w:r>
      <w:r w:rsidR="004B1DCB" w:rsidRPr="00D25AB9">
        <w:rPr>
          <w:rFonts w:ascii="Arial Narrow" w:hAnsi="Arial Narrow" w:cstheme="minorHAnsi"/>
        </w:rPr>
        <w:t xml:space="preserve"> </w:t>
      </w:r>
      <w:r w:rsidRPr="00D25AB9">
        <w:rPr>
          <w:rFonts w:ascii="Arial Narrow" w:hAnsi="Arial Narrow" w:cstheme="minorHAnsi"/>
        </w:rPr>
        <w:t>tāpat kā iepriekš</w:t>
      </w:r>
      <w:r w:rsidR="00E83EF4" w:rsidRPr="00D25AB9">
        <w:rPr>
          <w:rFonts w:ascii="Arial Narrow" w:hAnsi="Arial Narrow" w:cstheme="minorHAnsi"/>
        </w:rPr>
        <w:t>,</w:t>
      </w:r>
      <w:r w:rsidRPr="00D25AB9">
        <w:rPr>
          <w:rFonts w:ascii="Arial Narrow" w:hAnsi="Arial Narrow" w:cstheme="minorHAnsi"/>
        </w:rPr>
        <w:t xml:space="preserve"> </w:t>
      </w:r>
      <w:r w:rsidR="00F50B00" w:rsidRPr="00D25AB9">
        <w:rPr>
          <w:rFonts w:ascii="Arial Narrow" w:hAnsi="Arial Narrow" w:cstheme="minorHAnsi"/>
        </w:rPr>
        <w:t>veido</w:t>
      </w:r>
      <w:r w:rsidRPr="00D25AB9">
        <w:rPr>
          <w:rFonts w:ascii="Arial Narrow" w:hAnsi="Arial Narrow" w:cstheme="minorHAnsi"/>
        </w:rPr>
        <w:t xml:space="preserve"> samaksa par valsts apmaksāto stacionāro un ambulatoro veselības aprūpes pakalpojumu sniegšanu iedzīvotājiem saskaņā ar līgumiem, kas noslēgti ar Nacionālo veselības dienestu, un Slimnīcas sniegtajiem maksas pakalpojumiem atbilstoši apstiprinātajām maksas pakalpojumu cenrādim</w:t>
      </w:r>
      <w:r w:rsidR="00F50B00" w:rsidRPr="00D25AB9">
        <w:rPr>
          <w:rFonts w:ascii="Arial Narrow" w:hAnsi="Arial Narrow" w:cstheme="minorHAnsi"/>
        </w:rPr>
        <w:t>, kā arī</w:t>
      </w:r>
      <w:r w:rsidRPr="00D25AB9">
        <w:rPr>
          <w:rFonts w:ascii="Arial Narrow" w:hAnsi="Arial Narrow" w:cstheme="minorHAnsi"/>
        </w:rPr>
        <w:t xml:space="preserve"> citiem ienākumiem. Veselības aprūpes pakalpojumu ieņēmumi </w:t>
      </w:r>
      <w:r w:rsidR="00A427A4">
        <w:rPr>
          <w:rFonts w:ascii="Arial Narrow" w:hAnsi="Arial Narrow" w:cstheme="minorHAnsi"/>
        </w:rPr>
        <w:t>veido</w:t>
      </w:r>
      <w:r w:rsidRPr="00D25AB9">
        <w:rPr>
          <w:rFonts w:ascii="Arial Narrow" w:hAnsi="Arial Narrow" w:cstheme="minorHAnsi"/>
        </w:rPr>
        <w:t xml:space="preserve"> 94.</w:t>
      </w:r>
      <w:r w:rsidR="006B392E" w:rsidRPr="00D25AB9">
        <w:rPr>
          <w:rFonts w:ascii="Arial Narrow" w:hAnsi="Arial Narrow" w:cstheme="minorHAnsi"/>
        </w:rPr>
        <w:t>94</w:t>
      </w:r>
      <w:r w:rsidRPr="00D25AB9">
        <w:rPr>
          <w:rFonts w:ascii="Arial Narrow" w:hAnsi="Arial Narrow" w:cstheme="minorHAnsi"/>
        </w:rPr>
        <w:t>%</w:t>
      </w:r>
      <w:r w:rsidR="00F50B00" w:rsidRPr="00D25AB9">
        <w:rPr>
          <w:rFonts w:ascii="Arial Narrow" w:hAnsi="Arial Narrow" w:cstheme="minorHAnsi"/>
        </w:rPr>
        <w:t xml:space="preserve"> </w:t>
      </w:r>
      <w:r w:rsidRPr="00D25AB9">
        <w:rPr>
          <w:rFonts w:ascii="Arial Narrow" w:hAnsi="Arial Narrow" w:cstheme="minorHAnsi"/>
        </w:rPr>
        <w:t>no kopējiem Slimnīcas ieņēmumiem.</w:t>
      </w:r>
    </w:p>
    <w:p w14:paraId="2DF8CDFF" w14:textId="0966546E" w:rsidR="0023746B" w:rsidRPr="00D25AB9" w:rsidRDefault="0023746B" w:rsidP="00131E43">
      <w:pPr>
        <w:rPr>
          <w:rFonts w:ascii="Arial Narrow" w:hAnsi="Arial Narrow" w:cstheme="minorHAnsi"/>
        </w:rPr>
      </w:pPr>
      <w:r w:rsidRPr="00D25AB9">
        <w:rPr>
          <w:rFonts w:ascii="Arial Narrow" w:hAnsi="Arial Narrow" w:cstheme="minorHAnsi"/>
        </w:rPr>
        <w:t>Finanšu rādītāju salīdzinājums ar 202</w:t>
      </w:r>
      <w:r w:rsidR="007B3B58" w:rsidRPr="00D25AB9">
        <w:rPr>
          <w:rFonts w:ascii="Arial Narrow" w:hAnsi="Arial Narrow" w:cstheme="minorHAnsi"/>
        </w:rPr>
        <w:t>4</w:t>
      </w:r>
      <w:r w:rsidRPr="00D25AB9">
        <w:rPr>
          <w:rFonts w:ascii="Arial Narrow" w:hAnsi="Arial Narrow" w:cstheme="minorHAnsi"/>
        </w:rPr>
        <w:t>.gada izpildi un 202</w:t>
      </w:r>
      <w:r w:rsidR="007B3B58" w:rsidRPr="00D25AB9">
        <w:rPr>
          <w:rFonts w:ascii="Arial Narrow" w:hAnsi="Arial Narrow" w:cstheme="minorHAnsi"/>
        </w:rPr>
        <w:t>5</w:t>
      </w:r>
      <w:r w:rsidRPr="00D25AB9">
        <w:rPr>
          <w:rFonts w:ascii="Arial Narrow" w:hAnsi="Arial Narrow" w:cstheme="minorHAnsi"/>
        </w:rPr>
        <w:t xml:space="preserve">.gada </w:t>
      </w:r>
      <w:r w:rsidR="00337C20" w:rsidRPr="00D25AB9">
        <w:rPr>
          <w:rFonts w:ascii="Arial Narrow" w:hAnsi="Arial Narrow" w:cstheme="minorHAnsi"/>
        </w:rPr>
        <w:t>6</w:t>
      </w:r>
      <w:r w:rsidR="00C4798F" w:rsidRPr="00D25AB9">
        <w:rPr>
          <w:rFonts w:ascii="Arial Narrow" w:hAnsi="Arial Narrow" w:cstheme="minorHAnsi"/>
        </w:rPr>
        <w:t xml:space="preserve">. mēnešiem </w:t>
      </w:r>
      <w:r w:rsidRPr="00D25AB9">
        <w:rPr>
          <w:rFonts w:ascii="Arial Narrow" w:hAnsi="Arial Narrow" w:cstheme="minorHAnsi"/>
        </w:rPr>
        <w:t>plānu:</w:t>
      </w:r>
    </w:p>
    <w:tbl>
      <w:tblPr>
        <w:tblStyle w:val="GridTable1Light-Accent2"/>
        <w:tblW w:w="9954" w:type="dxa"/>
        <w:tblLayout w:type="fixed"/>
        <w:tblLook w:val="0420" w:firstRow="1" w:lastRow="0" w:firstColumn="0" w:lastColumn="0" w:noHBand="0" w:noVBand="1"/>
      </w:tblPr>
      <w:tblGrid>
        <w:gridCol w:w="1975"/>
        <w:gridCol w:w="1140"/>
        <w:gridCol w:w="1140"/>
        <w:gridCol w:w="1140"/>
        <w:gridCol w:w="1116"/>
        <w:gridCol w:w="1281"/>
        <w:gridCol w:w="1015"/>
        <w:gridCol w:w="1147"/>
      </w:tblGrid>
      <w:tr w:rsidR="007F4A1A" w:rsidRPr="00D25AB9" w14:paraId="713C8553" w14:textId="77777777" w:rsidTr="009F744A">
        <w:trPr>
          <w:cnfStyle w:val="100000000000" w:firstRow="1" w:lastRow="0" w:firstColumn="0" w:lastColumn="0" w:oddVBand="0" w:evenVBand="0" w:oddHBand="0" w:evenHBand="0" w:firstRowFirstColumn="0" w:firstRowLastColumn="0" w:lastRowFirstColumn="0" w:lastRowLastColumn="0"/>
          <w:trHeight w:val="510"/>
          <w:tblHeader/>
        </w:trPr>
        <w:tc>
          <w:tcPr>
            <w:tcW w:w="1975" w:type="dxa"/>
            <w:vMerge w:val="restart"/>
            <w:hideMark/>
          </w:tcPr>
          <w:p w14:paraId="4A209742"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Nosaukums/ Mērvienība</w:t>
            </w:r>
          </w:p>
        </w:tc>
        <w:tc>
          <w:tcPr>
            <w:tcW w:w="1140" w:type="dxa"/>
            <w:vMerge w:val="restart"/>
            <w:hideMark/>
          </w:tcPr>
          <w:p w14:paraId="2DB42673" w14:textId="77777777" w:rsidR="00AA77E9" w:rsidRPr="00D25AB9" w:rsidRDefault="00AA77E9" w:rsidP="007B3B58">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Izpilde 202</w:t>
            </w:r>
            <w:r w:rsidR="007B3B58" w:rsidRPr="00D25AB9">
              <w:rPr>
                <w:rFonts w:ascii="Arial Narrow" w:eastAsia="Times New Roman" w:hAnsi="Arial Narrow" w:cstheme="minorHAnsi"/>
                <w:sz w:val="22"/>
                <w:szCs w:val="22"/>
                <w:lang w:eastAsia="lv-LV"/>
              </w:rPr>
              <w:t>4</w:t>
            </w:r>
            <w:r w:rsidRPr="00D25AB9">
              <w:rPr>
                <w:rFonts w:ascii="Arial Narrow" w:eastAsia="Times New Roman" w:hAnsi="Arial Narrow" w:cstheme="minorHAnsi"/>
                <w:sz w:val="22"/>
                <w:szCs w:val="22"/>
                <w:lang w:eastAsia="lv-LV"/>
              </w:rPr>
              <w:t>. gada</w:t>
            </w:r>
          </w:p>
          <w:p w14:paraId="5F578AA7" w14:textId="721FC5BA" w:rsidR="007B3B58" w:rsidRPr="00D25AB9" w:rsidRDefault="00337C20" w:rsidP="007B3B58">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6</w:t>
            </w:r>
            <w:r w:rsidR="007B3B58" w:rsidRPr="00D25AB9">
              <w:rPr>
                <w:rFonts w:ascii="Arial Narrow" w:eastAsia="Times New Roman" w:hAnsi="Arial Narrow" w:cstheme="minorHAnsi"/>
                <w:sz w:val="22"/>
                <w:szCs w:val="22"/>
                <w:lang w:eastAsia="lv-LV"/>
              </w:rPr>
              <w:t xml:space="preserve"> </w:t>
            </w:r>
            <w:proofErr w:type="spellStart"/>
            <w:r w:rsidR="007B3B58"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w:t>
            </w:r>
          </w:p>
        </w:tc>
        <w:tc>
          <w:tcPr>
            <w:tcW w:w="1140" w:type="dxa"/>
            <w:vMerge w:val="restart"/>
            <w:hideMark/>
          </w:tcPr>
          <w:p w14:paraId="3C6F140A" w14:textId="10B77956" w:rsidR="00AA77E9" w:rsidRPr="00D25AB9" w:rsidRDefault="00AA77E9" w:rsidP="00337C20">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Plāns 202</w:t>
            </w:r>
            <w:r w:rsidR="007B3B58"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 gada</w:t>
            </w:r>
            <w:r w:rsidR="007B3B58" w:rsidRPr="00D25AB9">
              <w:rPr>
                <w:rFonts w:ascii="Arial Narrow" w:eastAsia="Times New Roman" w:hAnsi="Arial Narrow" w:cstheme="minorHAnsi"/>
                <w:sz w:val="22"/>
                <w:szCs w:val="22"/>
                <w:lang w:eastAsia="lv-LV"/>
              </w:rPr>
              <w:t xml:space="preserve"> </w:t>
            </w:r>
            <w:r w:rsidR="00337C20" w:rsidRPr="00D25AB9">
              <w:rPr>
                <w:rFonts w:ascii="Arial Narrow" w:eastAsia="Times New Roman" w:hAnsi="Arial Narrow" w:cstheme="minorHAnsi"/>
                <w:sz w:val="22"/>
                <w:szCs w:val="22"/>
                <w:lang w:eastAsia="lv-LV"/>
              </w:rPr>
              <w:t>6</w:t>
            </w:r>
            <w:r w:rsidR="007B3B58" w:rsidRPr="00D25AB9">
              <w:rPr>
                <w:rFonts w:ascii="Arial Narrow" w:eastAsia="Times New Roman" w:hAnsi="Arial Narrow" w:cstheme="minorHAnsi"/>
                <w:sz w:val="22"/>
                <w:szCs w:val="22"/>
                <w:lang w:eastAsia="lv-LV"/>
              </w:rPr>
              <w:t xml:space="preserve"> </w:t>
            </w:r>
            <w:proofErr w:type="spellStart"/>
            <w:r w:rsidR="007B3B58"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w:t>
            </w:r>
          </w:p>
        </w:tc>
        <w:tc>
          <w:tcPr>
            <w:tcW w:w="1140" w:type="dxa"/>
            <w:vMerge w:val="restart"/>
            <w:hideMark/>
          </w:tcPr>
          <w:p w14:paraId="0C60A8A4" w14:textId="596E2766" w:rsidR="00AA77E9" w:rsidRPr="00D25AB9" w:rsidRDefault="00AA77E9" w:rsidP="00337C20">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Izpilde 202</w:t>
            </w:r>
            <w:r w:rsidR="007B3B58"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 gada</w:t>
            </w:r>
            <w:r w:rsidR="007B3B58" w:rsidRPr="00D25AB9">
              <w:rPr>
                <w:rFonts w:ascii="Arial Narrow" w:eastAsia="Times New Roman" w:hAnsi="Arial Narrow" w:cstheme="minorHAnsi"/>
                <w:sz w:val="22"/>
                <w:szCs w:val="22"/>
                <w:lang w:eastAsia="lv-LV"/>
              </w:rPr>
              <w:t xml:space="preserve"> </w:t>
            </w:r>
            <w:r w:rsidR="00337C20" w:rsidRPr="00D25AB9">
              <w:rPr>
                <w:rFonts w:ascii="Arial Narrow" w:eastAsia="Times New Roman" w:hAnsi="Arial Narrow" w:cstheme="minorHAnsi"/>
                <w:sz w:val="22"/>
                <w:szCs w:val="22"/>
                <w:lang w:eastAsia="lv-LV"/>
              </w:rPr>
              <w:t xml:space="preserve">6 </w:t>
            </w:r>
            <w:proofErr w:type="spellStart"/>
            <w:r w:rsidR="007B3B58"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w:t>
            </w:r>
          </w:p>
        </w:tc>
        <w:tc>
          <w:tcPr>
            <w:tcW w:w="2397" w:type="dxa"/>
            <w:gridSpan w:val="2"/>
            <w:hideMark/>
          </w:tcPr>
          <w:p w14:paraId="7332495B" w14:textId="47617D58" w:rsidR="00AA77E9" w:rsidRPr="00D25AB9" w:rsidRDefault="00AA77E9" w:rsidP="00337C20">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Novirze pret 202</w:t>
            </w:r>
            <w:r w:rsidR="006D2D85" w:rsidRPr="00D25AB9">
              <w:rPr>
                <w:rFonts w:ascii="Arial Narrow" w:eastAsia="Times New Roman" w:hAnsi="Arial Narrow" w:cstheme="minorHAnsi"/>
                <w:sz w:val="22"/>
                <w:szCs w:val="22"/>
                <w:lang w:eastAsia="lv-LV"/>
              </w:rPr>
              <w:t>4</w:t>
            </w:r>
            <w:r w:rsidRPr="00D25AB9">
              <w:rPr>
                <w:rFonts w:ascii="Arial Narrow" w:eastAsia="Times New Roman" w:hAnsi="Arial Narrow" w:cstheme="minorHAnsi"/>
                <w:sz w:val="22"/>
                <w:szCs w:val="22"/>
                <w:lang w:eastAsia="lv-LV"/>
              </w:rPr>
              <w:t>.gad</w:t>
            </w:r>
            <w:r w:rsidR="006D2D85" w:rsidRPr="00D25AB9">
              <w:rPr>
                <w:rFonts w:ascii="Arial Narrow" w:eastAsia="Times New Roman" w:hAnsi="Arial Narrow" w:cstheme="minorHAnsi"/>
                <w:sz w:val="22"/>
                <w:szCs w:val="22"/>
                <w:lang w:eastAsia="lv-LV"/>
              </w:rPr>
              <w:t xml:space="preserve">a </w:t>
            </w:r>
            <w:r w:rsidR="00337C20" w:rsidRPr="00D25AB9">
              <w:rPr>
                <w:rFonts w:ascii="Arial Narrow" w:eastAsia="Times New Roman" w:hAnsi="Arial Narrow" w:cstheme="minorHAnsi"/>
                <w:sz w:val="22"/>
                <w:szCs w:val="22"/>
                <w:lang w:eastAsia="lv-LV"/>
              </w:rPr>
              <w:t>6</w:t>
            </w:r>
            <w:r w:rsidR="006D2D85" w:rsidRPr="00D25AB9">
              <w:rPr>
                <w:rFonts w:ascii="Arial Narrow" w:eastAsia="Times New Roman" w:hAnsi="Arial Narrow" w:cstheme="minorHAnsi"/>
                <w:sz w:val="22"/>
                <w:szCs w:val="22"/>
                <w:lang w:eastAsia="lv-LV"/>
              </w:rPr>
              <w:t xml:space="preserve"> </w:t>
            </w:r>
            <w:proofErr w:type="spellStart"/>
            <w:r w:rsidR="006D2D85"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w:t>
            </w:r>
          </w:p>
        </w:tc>
        <w:tc>
          <w:tcPr>
            <w:tcW w:w="2162" w:type="dxa"/>
            <w:gridSpan w:val="2"/>
            <w:hideMark/>
          </w:tcPr>
          <w:p w14:paraId="6B352796" w14:textId="16BA58AB" w:rsidR="00AA77E9" w:rsidRPr="00D25AB9" w:rsidRDefault="00AA77E9" w:rsidP="00337C20">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Novirze pret 202</w:t>
            </w:r>
            <w:r w:rsidR="006D2D85"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.gad</w:t>
            </w:r>
            <w:r w:rsidR="006D2D85" w:rsidRPr="00D25AB9">
              <w:rPr>
                <w:rFonts w:ascii="Arial Narrow" w:eastAsia="Times New Roman" w:hAnsi="Arial Narrow" w:cstheme="minorHAnsi"/>
                <w:sz w:val="22"/>
                <w:szCs w:val="22"/>
                <w:lang w:eastAsia="lv-LV"/>
              </w:rPr>
              <w:t xml:space="preserve">a </w:t>
            </w:r>
            <w:r w:rsidR="00337C20" w:rsidRPr="00D25AB9">
              <w:rPr>
                <w:rFonts w:ascii="Arial Narrow" w:eastAsia="Times New Roman" w:hAnsi="Arial Narrow" w:cstheme="minorHAnsi"/>
                <w:sz w:val="22"/>
                <w:szCs w:val="22"/>
                <w:lang w:eastAsia="lv-LV"/>
              </w:rPr>
              <w:t>6</w:t>
            </w:r>
            <w:r w:rsidR="006D2D85" w:rsidRPr="00D25AB9">
              <w:rPr>
                <w:rFonts w:ascii="Arial Narrow" w:eastAsia="Times New Roman" w:hAnsi="Arial Narrow" w:cstheme="minorHAnsi"/>
                <w:sz w:val="22"/>
                <w:szCs w:val="22"/>
                <w:lang w:eastAsia="lv-LV"/>
              </w:rPr>
              <w:t xml:space="preserve"> </w:t>
            </w:r>
            <w:proofErr w:type="spellStart"/>
            <w:r w:rsidR="006D2D85"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 plānu</w:t>
            </w:r>
          </w:p>
        </w:tc>
      </w:tr>
      <w:tr w:rsidR="007F4A1A" w:rsidRPr="00D25AB9" w14:paraId="61C671EF" w14:textId="77777777" w:rsidTr="009F744A">
        <w:trPr>
          <w:cnfStyle w:val="100000000000" w:firstRow="1" w:lastRow="0" w:firstColumn="0" w:lastColumn="0" w:oddVBand="0" w:evenVBand="0" w:oddHBand="0" w:evenHBand="0" w:firstRowFirstColumn="0" w:firstRowLastColumn="0" w:lastRowFirstColumn="0" w:lastRowLastColumn="0"/>
          <w:trHeight w:val="315"/>
          <w:tblHeader/>
        </w:trPr>
        <w:tc>
          <w:tcPr>
            <w:tcW w:w="1975" w:type="dxa"/>
            <w:vMerge/>
            <w:hideMark/>
          </w:tcPr>
          <w:p w14:paraId="39D3A748"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p>
        </w:tc>
        <w:tc>
          <w:tcPr>
            <w:tcW w:w="1140" w:type="dxa"/>
            <w:vMerge/>
            <w:hideMark/>
          </w:tcPr>
          <w:p w14:paraId="07C53ED1"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p>
        </w:tc>
        <w:tc>
          <w:tcPr>
            <w:tcW w:w="1140" w:type="dxa"/>
            <w:vMerge/>
            <w:hideMark/>
          </w:tcPr>
          <w:p w14:paraId="35077A3E"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p>
        </w:tc>
        <w:tc>
          <w:tcPr>
            <w:tcW w:w="1140" w:type="dxa"/>
            <w:vMerge/>
            <w:hideMark/>
          </w:tcPr>
          <w:p w14:paraId="7AE97DB4"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p>
        </w:tc>
        <w:tc>
          <w:tcPr>
            <w:tcW w:w="1116" w:type="dxa"/>
            <w:hideMark/>
          </w:tcPr>
          <w:p w14:paraId="6A8852C8"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EUR</w:t>
            </w:r>
          </w:p>
        </w:tc>
        <w:tc>
          <w:tcPr>
            <w:tcW w:w="1281" w:type="dxa"/>
            <w:hideMark/>
          </w:tcPr>
          <w:p w14:paraId="0ADCAE2F"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w:t>
            </w:r>
          </w:p>
        </w:tc>
        <w:tc>
          <w:tcPr>
            <w:tcW w:w="1015" w:type="dxa"/>
            <w:hideMark/>
          </w:tcPr>
          <w:p w14:paraId="4F12E749"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EUR</w:t>
            </w:r>
          </w:p>
        </w:tc>
        <w:tc>
          <w:tcPr>
            <w:tcW w:w="1147" w:type="dxa"/>
            <w:hideMark/>
          </w:tcPr>
          <w:p w14:paraId="233FCDCA" w14:textId="77777777" w:rsidR="00AA77E9" w:rsidRPr="00D25AB9" w:rsidRDefault="00AA77E9" w:rsidP="00DD6EFE">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w:t>
            </w:r>
          </w:p>
        </w:tc>
      </w:tr>
      <w:tr w:rsidR="00AA77E9" w:rsidRPr="00D25AB9" w14:paraId="28EE5993" w14:textId="77777777" w:rsidTr="009F744A">
        <w:trPr>
          <w:trHeight w:val="315"/>
        </w:trPr>
        <w:tc>
          <w:tcPr>
            <w:tcW w:w="1975" w:type="dxa"/>
            <w:hideMark/>
          </w:tcPr>
          <w:p w14:paraId="150DB678" w14:textId="77777777" w:rsidR="00AA77E9" w:rsidRPr="00D25AB9" w:rsidRDefault="00AA77E9" w:rsidP="00AA77E9">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Neto apgrozījums</w:t>
            </w:r>
          </w:p>
        </w:tc>
        <w:tc>
          <w:tcPr>
            <w:tcW w:w="1140" w:type="dxa"/>
            <w:noWrap/>
            <w:hideMark/>
          </w:tcPr>
          <w:p w14:paraId="4A1DC880" w14:textId="09B8578A" w:rsidR="00AA77E9" w:rsidRPr="00D25AB9" w:rsidRDefault="009A099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2 678 310</w:t>
            </w:r>
          </w:p>
        </w:tc>
        <w:tc>
          <w:tcPr>
            <w:tcW w:w="1140" w:type="dxa"/>
            <w:noWrap/>
            <w:hideMark/>
          </w:tcPr>
          <w:p w14:paraId="73A1A519" w14:textId="2A942979" w:rsidR="00AA77E9" w:rsidRPr="00D25AB9" w:rsidRDefault="009A099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3 044 092</w:t>
            </w:r>
          </w:p>
        </w:tc>
        <w:tc>
          <w:tcPr>
            <w:tcW w:w="1140" w:type="dxa"/>
            <w:noWrap/>
            <w:hideMark/>
          </w:tcPr>
          <w:p w14:paraId="1B479EAE" w14:textId="2E1D579D" w:rsidR="00AA77E9" w:rsidRPr="00D25AB9" w:rsidRDefault="009A099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2 897 946</w:t>
            </w:r>
          </w:p>
        </w:tc>
        <w:tc>
          <w:tcPr>
            <w:tcW w:w="1116" w:type="dxa"/>
            <w:noWrap/>
            <w:hideMark/>
          </w:tcPr>
          <w:p w14:paraId="259F3096" w14:textId="344AF9F6" w:rsidR="00AA77E9" w:rsidRPr="00D25AB9" w:rsidRDefault="00FA347B" w:rsidP="00FA347B">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219 636</w:t>
            </w:r>
          </w:p>
        </w:tc>
        <w:tc>
          <w:tcPr>
            <w:tcW w:w="1281" w:type="dxa"/>
            <w:noWrap/>
            <w:hideMark/>
          </w:tcPr>
          <w:p w14:paraId="6717A6E2" w14:textId="1DFC5B59" w:rsidR="00AA77E9" w:rsidRPr="00D25AB9" w:rsidRDefault="00FA347B" w:rsidP="00AA77E9">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8,20</w:t>
            </w:r>
            <w:r w:rsidR="00D76F78" w:rsidRPr="00D25AB9">
              <w:rPr>
                <w:rFonts w:ascii="Arial Narrow" w:eastAsia="Times New Roman" w:hAnsi="Arial Narrow" w:cstheme="minorHAnsi"/>
                <w:sz w:val="22"/>
                <w:szCs w:val="22"/>
                <w:lang w:eastAsia="lv-LV"/>
              </w:rPr>
              <w:t>%</w:t>
            </w:r>
          </w:p>
        </w:tc>
        <w:tc>
          <w:tcPr>
            <w:tcW w:w="1015" w:type="dxa"/>
            <w:noWrap/>
            <w:hideMark/>
          </w:tcPr>
          <w:p w14:paraId="116A1561" w14:textId="63B46689"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-146 146</w:t>
            </w:r>
          </w:p>
        </w:tc>
        <w:tc>
          <w:tcPr>
            <w:tcW w:w="1147" w:type="dxa"/>
            <w:noWrap/>
            <w:hideMark/>
          </w:tcPr>
          <w:p w14:paraId="2DC2E595" w14:textId="2EF77D36" w:rsidR="00AA77E9" w:rsidRPr="00D25AB9" w:rsidRDefault="002E2718" w:rsidP="00FA347B">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FA347B" w:rsidRPr="00D25AB9">
              <w:rPr>
                <w:rFonts w:ascii="Arial Narrow" w:eastAsia="Times New Roman" w:hAnsi="Arial Narrow" w:cstheme="minorHAnsi"/>
                <w:sz w:val="22"/>
                <w:szCs w:val="22"/>
                <w:lang w:eastAsia="lv-LV"/>
              </w:rPr>
              <w:t>4,80</w:t>
            </w:r>
            <w:r w:rsidRPr="00D25AB9">
              <w:rPr>
                <w:rFonts w:ascii="Arial Narrow" w:eastAsia="Times New Roman" w:hAnsi="Arial Narrow" w:cstheme="minorHAnsi"/>
                <w:sz w:val="22"/>
                <w:szCs w:val="22"/>
                <w:lang w:eastAsia="lv-LV"/>
              </w:rPr>
              <w:t>%</w:t>
            </w:r>
          </w:p>
        </w:tc>
      </w:tr>
      <w:tr w:rsidR="00AA77E9" w:rsidRPr="00D25AB9" w14:paraId="1202DB6F" w14:textId="77777777" w:rsidTr="009F744A">
        <w:trPr>
          <w:trHeight w:val="315"/>
        </w:trPr>
        <w:tc>
          <w:tcPr>
            <w:tcW w:w="1975" w:type="dxa"/>
            <w:noWrap/>
            <w:hideMark/>
          </w:tcPr>
          <w:p w14:paraId="5AEF2B13" w14:textId="77777777" w:rsidR="00AA77E9" w:rsidRPr="00D25AB9" w:rsidRDefault="00AA77E9" w:rsidP="00AA77E9">
            <w:pPr>
              <w:spacing w:before="0"/>
              <w:jc w:val="left"/>
              <w:rPr>
                <w:rFonts w:ascii="Arial Narrow" w:eastAsia="Times New Roman" w:hAnsi="Arial Narrow" w:cstheme="minorHAnsi"/>
                <w:color w:val="000000"/>
                <w:sz w:val="22"/>
                <w:szCs w:val="22"/>
                <w:lang w:eastAsia="lv-LV"/>
              </w:rPr>
            </w:pPr>
            <w:r w:rsidRPr="00D25AB9">
              <w:rPr>
                <w:rFonts w:ascii="Arial Narrow" w:eastAsia="Times New Roman" w:hAnsi="Arial Narrow" w:cstheme="minorHAnsi"/>
                <w:color w:val="000000"/>
                <w:sz w:val="22"/>
                <w:szCs w:val="22"/>
                <w:lang w:eastAsia="lv-LV"/>
              </w:rPr>
              <w:t>Kopējie ieņēmumi</w:t>
            </w:r>
          </w:p>
        </w:tc>
        <w:tc>
          <w:tcPr>
            <w:tcW w:w="1140" w:type="dxa"/>
            <w:noWrap/>
            <w:hideMark/>
          </w:tcPr>
          <w:p w14:paraId="24546D78" w14:textId="17F7B5F8" w:rsidR="00FA347B" w:rsidRPr="00D25AB9" w:rsidRDefault="00FA347B" w:rsidP="00FA347B">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2 853 102</w:t>
            </w:r>
          </w:p>
        </w:tc>
        <w:tc>
          <w:tcPr>
            <w:tcW w:w="1140" w:type="dxa"/>
            <w:noWrap/>
            <w:hideMark/>
          </w:tcPr>
          <w:p w14:paraId="55F847D8" w14:textId="7B70628D"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3 157 666</w:t>
            </w:r>
          </w:p>
        </w:tc>
        <w:tc>
          <w:tcPr>
            <w:tcW w:w="1140" w:type="dxa"/>
            <w:noWrap/>
            <w:hideMark/>
          </w:tcPr>
          <w:p w14:paraId="30E90C9A" w14:textId="17F906D2"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3 031 014</w:t>
            </w:r>
          </w:p>
        </w:tc>
        <w:tc>
          <w:tcPr>
            <w:tcW w:w="1116" w:type="dxa"/>
            <w:noWrap/>
            <w:hideMark/>
          </w:tcPr>
          <w:p w14:paraId="77952F55" w14:textId="3DA7BE1B"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177 912</w:t>
            </w:r>
          </w:p>
        </w:tc>
        <w:tc>
          <w:tcPr>
            <w:tcW w:w="1281" w:type="dxa"/>
            <w:noWrap/>
            <w:hideMark/>
          </w:tcPr>
          <w:p w14:paraId="3145C358" w14:textId="5BA2D6E2" w:rsidR="00AA77E9" w:rsidRPr="00D25AB9" w:rsidRDefault="00FA347B" w:rsidP="00AA77E9">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6,24</w:t>
            </w:r>
            <w:r w:rsidR="00D76F78" w:rsidRPr="00D25AB9">
              <w:rPr>
                <w:rFonts w:ascii="Arial Narrow" w:eastAsia="Times New Roman" w:hAnsi="Arial Narrow" w:cstheme="minorHAnsi"/>
                <w:sz w:val="22"/>
                <w:szCs w:val="22"/>
                <w:lang w:eastAsia="lv-LV"/>
              </w:rPr>
              <w:t>%</w:t>
            </w:r>
          </w:p>
        </w:tc>
        <w:tc>
          <w:tcPr>
            <w:tcW w:w="1015" w:type="dxa"/>
            <w:noWrap/>
            <w:hideMark/>
          </w:tcPr>
          <w:p w14:paraId="5C63DD5C" w14:textId="09FF886B"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-126 652</w:t>
            </w:r>
          </w:p>
        </w:tc>
        <w:tc>
          <w:tcPr>
            <w:tcW w:w="1147" w:type="dxa"/>
            <w:noWrap/>
            <w:hideMark/>
          </w:tcPr>
          <w:p w14:paraId="7E2FFCD1" w14:textId="642D2C46" w:rsidR="00AA77E9" w:rsidRPr="00D25AB9" w:rsidRDefault="00FA347B" w:rsidP="00AA77E9">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4,01</w:t>
            </w:r>
            <w:r w:rsidR="00AA77E9" w:rsidRPr="00D25AB9">
              <w:rPr>
                <w:rFonts w:ascii="Arial Narrow" w:eastAsia="Times New Roman" w:hAnsi="Arial Narrow" w:cstheme="minorHAnsi"/>
                <w:sz w:val="22"/>
                <w:szCs w:val="22"/>
                <w:lang w:eastAsia="lv-LV"/>
              </w:rPr>
              <w:t>%</w:t>
            </w:r>
          </w:p>
        </w:tc>
      </w:tr>
      <w:tr w:rsidR="00AA77E9" w:rsidRPr="00D25AB9" w14:paraId="006DCA62" w14:textId="77777777" w:rsidTr="009F744A">
        <w:trPr>
          <w:trHeight w:val="315"/>
        </w:trPr>
        <w:tc>
          <w:tcPr>
            <w:tcW w:w="1975" w:type="dxa"/>
            <w:noWrap/>
            <w:hideMark/>
          </w:tcPr>
          <w:p w14:paraId="12A8EE65" w14:textId="68A7A235" w:rsidR="00AA77E9" w:rsidRPr="00D25AB9" w:rsidRDefault="00AA77E9" w:rsidP="00AA77E9">
            <w:pPr>
              <w:spacing w:before="0"/>
              <w:jc w:val="left"/>
              <w:rPr>
                <w:rFonts w:ascii="Arial Narrow" w:eastAsia="Times New Roman" w:hAnsi="Arial Narrow" w:cstheme="minorHAnsi"/>
                <w:color w:val="000000"/>
                <w:sz w:val="22"/>
                <w:szCs w:val="22"/>
                <w:lang w:eastAsia="lv-LV"/>
              </w:rPr>
            </w:pPr>
            <w:r w:rsidRPr="00D25AB9">
              <w:rPr>
                <w:rFonts w:ascii="Arial Narrow" w:eastAsia="Times New Roman" w:hAnsi="Arial Narrow" w:cstheme="minorHAnsi"/>
                <w:color w:val="000000"/>
                <w:sz w:val="22"/>
                <w:szCs w:val="22"/>
                <w:lang w:eastAsia="lv-LV"/>
              </w:rPr>
              <w:t>Kopējie izdevumi</w:t>
            </w:r>
          </w:p>
        </w:tc>
        <w:tc>
          <w:tcPr>
            <w:tcW w:w="1140" w:type="dxa"/>
            <w:noWrap/>
            <w:hideMark/>
          </w:tcPr>
          <w:p w14:paraId="75CE4D96" w14:textId="553C6FC5"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2 779 353</w:t>
            </w:r>
          </w:p>
        </w:tc>
        <w:tc>
          <w:tcPr>
            <w:tcW w:w="1140" w:type="dxa"/>
            <w:noWrap/>
            <w:hideMark/>
          </w:tcPr>
          <w:p w14:paraId="06837CD7" w14:textId="1B0BDF4B" w:rsidR="00AA77E9" w:rsidRPr="00D25AB9" w:rsidRDefault="00FA347B" w:rsidP="00DA2F4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3 165 254</w:t>
            </w:r>
          </w:p>
        </w:tc>
        <w:tc>
          <w:tcPr>
            <w:tcW w:w="1140" w:type="dxa"/>
            <w:noWrap/>
            <w:hideMark/>
          </w:tcPr>
          <w:p w14:paraId="7D58F5A1" w14:textId="15FB088D"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3 140 233</w:t>
            </w:r>
          </w:p>
        </w:tc>
        <w:tc>
          <w:tcPr>
            <w:tcW w:w="1116" w:type="dxa"/>
            <w:noWrap/>
            <w:hideMark/>
          </w:tcPr>
          <w:p w14:paraId="58D42429" w14:textId="15360CB1"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360 880</w:t>
            </w:r>
          </w:p>
        </w:tc>
        <w:tc>
          <w:tcPr>
            <w:tcW w:w="1281" w:type="dxa"/>
            <w:noWrap/>
            <w:hideMark/>
          </w:tcPr>
          <w:p w14:paraId="5D7C30B4" w14:textId="75BDFC27" w:rsidR="00AA77E9" w:rsidRPr="00D25AB9" w:rsidRDefault="00FA347B" w:rsidP="00AA77E9">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12,98</w:t>
            </w:r>
            <w:r w:rsidR="00AA77E9" w:rsidRPr="00D25AB9">
              <w:rPr>
                <w:rFonts w:ascii="Arial Narrow" w:eastAsia="Times New Roman" w:hAnsi="Arial Narrow" w:cstheme="minorHAnsi"/>
                <w:sz w:val="22"/>
                <w:szCs w:val="22"/>
                <w:lang w:eastAsia="lv-LV"/>
              </w:rPr>
              <w:t>%</w:t>
            </w:r>
          </w:p>
        </w:tc>
        <w:tc>
          <w:tcPr>
            <w:tcW w:w="1015" w:type="dxa"/>
            <w:noWrap/>
            <w:hideMark/>
          </w:tcPr>
          <w:p w14:paraId="0065543E" w14:textId="7024A87E" w:rsidR="00AA77E9" w:rsidRPr="00D25AB9" w:rsidRDefault="002E2718" w:rsidP="00FA347B">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-25 0</w:t>
            </w:r>
            <w:r w:rsidR="00FA347B" w:rsidRPr="00D25AB9">
              <w:rPr>
                <w:rFonts w:ascii="Arial Narrow" w:eastAsia="Times New Roman" w:hAnsi="Arial Narrow" w:cstheme="minorHAnsi"/>
                <w:sz w:val="22"/>
                <w:szCs w:val="22"/>
                <w:lang w:eastAsia="lv-LV"/>
              </w:rPr>
              <w:t>21</w:t>
            </w:r>
          </w:p>
        </w:tc>
        <w:tc>
          <w:tcPr>
            <w:tcW w:w="1147" w:type="dxa"/>
            <w:noWrap/>
            <w:hideMark/>
          </w:tcPr>
          <w:p w14:paraId="4A5D82C0" w14:textId="7FB6F23F" w:rsidR="00AA77E9" w:rsidRPr="00D25AB9" w:rsidRDefault="002E2718" w:rsidP="00FA347B">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FA347B" w:rsidRPr="00D25AB9">
              <w:rPr>
                <w:rFonts w:ascii="Arial Narrow" w:eastAsia="Times New Roman" w:hAnsi="Arial Narrow" w:cstheme="minorHAnsi"/>
                <w:sz w:val="22"/>
                <w:szCs w:val="22"/>
                <w:lang w:eastAsia="lv-LV"/>
              </w:rPr>
              <w:t>0,79</w:t>
            </w:r>
            <w:r w:rsidR="00AA77E9" w:rsidRPr="00D25AB9">
              <w:rPr>
                <w:rFonts w:ascii="Arial Narrow" w:eastAsia="Times New Roman" w:hAnsi="Arial Narrow" w:cstheme="minorHAnsi"/>
                <w:sz w:val="22"/>
                <w:szCs w:val="22"/>
                <w:lang w:eastAsia="lv-LV"/>
              </w:rPr>
              <w:t>%</w:t>
            </w:r>
          </w:p>
        </w:tc>
      </w:tr>
      <w:tr w:rsidR="00AA77E9" w:rsidRPr="00D25AB9" w14:paraId="32DF72D9" w14:textId="77777777" w:rsidTr="009F744A">
        <w:trPr>
          <w:trHeight w:val="315"/>
        </w:trPr>
        <w:tc>
          <w:tcPr>
            <w:tcW w:w="1975" w:type="dxa"/>
            <w:noWrap/>
            <w:hideMark/>
          </w:tcPr>
          <w:p w14:paraId="0EF9D02C" w14:textId="77777777" w:rsidR="00AA77E9" w:rsidRPr="00D25AB9" w:rsidRDefault="00AA77E9" w:rsidP="00AA77E9">
            <w:pPr>
              <w:spacing w:before="0"/>
              <w:jc w:val="left"/>
              <w:rPr>
                <w:rFonts w:ascii="Arial Narrow" w:eastAsia="Times New Roman" w:hAnsi="Arial Narrow" w:cstheme="minorHAnsi"/>
                <w:color w:val="000000"/>
                <w:sz w:val="22"/>
                <w:szCs w:val="22"/>
                <w:lang w:eastAsia="lv-LV"/>
              </w:rPr>
            </w:pPr>
            <w:r w:rsidRPr="00D25AB9">
              <w:rPr>
                <w:rFonts w:ascii="Arial Narrow" w:eastAsia="Times New Roman" w:hAnsi="Arial Narrow" w:cstheme="minorHAnsi"/>
                <w:color w:val="000000"/>
                <w:sz w:val="22"/>
                <w:szCs w:val="22"/>
                <w:lang w:eastAsia="lv-LV"/>
              </w:rPr>
              <w:t>Bruto peļņa vai zaudējumi</w:t>
            </w:r>
          </w:p>
        </w:tc>
        <w:tc>
          <w:tcPr>
            <w:tcW w:w="1140" w:type="dxa"/>
            <w:noWrap/>
            <w:hideMark/>
          </w:tcPr>
          <w:p w14:paraId="20B3CECD" w14:textId="2A7A94C0"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125 079</w:t>
            </w:r>
          </w:p>
        </w:tc>
        <w:tc>
          <w:tcPr>
            <w:tcW w:w="1140" w:type="dxa"/>
            <w:noWrap/>
            <w:hideMark/>
          </w:tcPr>
          <w:p w14:paraId="2D1150E6" w14:textId="2DEABA20"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764 931</w:t>
            </w:r>
          </w:p>
        </w:tc>
        <w:tc>
          <w:tcPr>
            <w:tcW w:w="1140" w:type="dxa"/>
            <w:noWrap/>
            <w:hideMark/>
          </w:tcPr>
          <w:p w14:paraId="0C594F27" w14:textId="2ABE0F8E"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48 957</w:t>
            </w:r>
          </w:p>
        </w:tc>
        <w:tc>
          <w:tcPr>
            <w:tcW w:w="1116" w:type="dxa"/>
            <w:noWrap/>
            <w:hideMark/>
          </w:tcPr>
          <w:p w14:paraId="593E40DA" w14:textId="7E51B946"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-76 122</w:t>
            </w:r>
          </w:p>
        </w:tc>
        <w:tc>
          <w:tcPr>
            <w:tcW w:w="1281" w:type="dxa"/>
            <w:noWrap/>
            <w:hideMark/>
          </w:tcPr>
          <w:p w14:paraId="444ADDCC" w14:textId="2349474F" w:rsidR="00AA77E9" w:rsidRPr="00D25AB9" w:rsidRDefault="00FA347B" w:rsidP="00FA347B">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-60,86</w:t>
            </w:r>
            <w:r w:rsidR="00AA77E9" w:rsidRPr="00D25AB9">
              <w:rPr>
                <w:rFonts w:ascii="Arial Narrow" w:eastAsia="Times New Roman" w:hAnsi="Arial Narrow" w:cstheme="minorHAnsi"/>
                <w:sz w:val="22"/>
                <w:szCs w:val="22"/>
                <w:lang w:eastAsia="lv-LV"/>
              </w:rPr>
              <w:t>%</w:t>
            </w:r>
          </w:p>
        </w:tc>
        <w:tc>
          <w:tcPr>
            <w:tcW w:w="1015" w:type="dxa"/>
            <w:noWrap/>
            <w:hideMark/>
          </w:tcPr>
          <w:p w14:paraId="072BC12A" w14:textId="2BB24795" w:rsidR="00AA77E9" w:rsidRPr="00D25AB9" w:rsidRDefault="002E2718" w:rsidP="00FA347B">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FA347B" w:rsidRPr="00D25AB9">
              <w:rPr>
                <w:rFonts w:ascii="Arial Narrow" w:eastAsia="Times New Roman" w:hAnsi="Arial Narrow" w:cstheme="minorHAnsi"/>
                <w:sz w:val="22"/>
                <w:szCs w:val="22"/>
                <w:lang w:eastAsia="lv-LV"/>
              </w:rPr>
              <w:t>715 974</w:t>
            </w:r>
          </w:p>
        </w:tc>
        <w:tc>
          <w:tcPr>
            <w:tcW w:w="1147" w:type="dxa"/>
            <w:noWrap/>
            <w:hideMark/>
          </w:tcPr>
          <w:p w14:paraId="349E2ADF" w14:textId="762BD09D" w:rsidR="00AA77E9" w:rsidRPr="00D25AB9" w:rsidRDefault="002E2718" w:rsidP="00FA347B">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FA347B" w:rsidRPr="00D25AB9">
              <w:rPr>
                <w:rFonts w:ascii="Arial Narrow" w:eastAsia="Times New Roman" w:hAnsi="Arial Narrow" w:cstheme="minorHAnsi"/>
                <w:sz w:val="22"/>
                <w:szCs w:val="22"/>
                <w:lang w:eastAsia="lv-LV"/>
              </w:rPr>
              <w:t>93,60</w:t>
            </w:r>
            <w:r w:rsidR="00AA77E9" w:rsidRPr="00D25AB9">
              <w:rPr>
                <w:rFonts w:ascii="Arial Narrow" w:eastAsia="Times New Roman" w:hAnsi="Arial Narrow" w:cstheme="minorHAnsi"/>
                <w:sz w:val="22"/>
                <w:szCs w:val="22"/>
                <w:lang w:eastAsia="lv-LV"/>
              </w:rPr>
              <w:t>%</w:t>
            </w:r>
          </w:p>
        </w:tc>
      </w:tr>
      <w:tr w:rsidR="00AA77E9" w:rsidRPr="00D25AB9" w14:paraId="4FF45A30" w14:textId="77777777" w:rsidTr="009F744A">
        <w:trPr>
          <w:trHeight w:val="315"/>
        </w:trPr>
        <w:tc>
          <w:tcPr>
            <w:tcW w:w="1975" w:type="dxa"/>
            <w:noWrap/>
            <w:hideMark/>
          </w:tcPr>
          <w:p w14:paraId="4145AD66" w14:textId="6D2799EF" w:rsidR="00AA77E9" w:rsidRPr="00D25AB9" w:rsidRDefault="00AA77E9" w:rsidP="00AA77E9">
            <w:pPr>
              <w:spacing w:before="0"/>
              <w:jc w:val="left"/>
              <w:rPr>
                <w:rFonts w:ascii="Arial Narrow" w:eastAsia="Times New Roman" w:hAnsi="Arial Narrow" w:cstheme="minorHAnsi"/>
                <w:color w:val="000000"/>
                <w:sz w:val="22"/>
                <w:szCs w:val="22"/>
                <w:lang w:eastAsia="lv-LV"/>
              </w:rPr>
            </w:pPr>
            <w:r w:rsidRPr="00D25AB9">
              <w:rPr>
                <w:rFonts w:ascii="Arial Narrow" w:eastAsia="Times New Roman" w:hAnsi="Arial Narrow" w:cstheme="minorHAnsi"/>
                <w:color w:val="000000"/>
                <w:sz w:val="22"/>
                <w:szCs w:val="22"/>
                <w:lang w:eastAsia="lv-LV"/>
              </w:rPr>
              <w:t>Peļņa vai zaudējumi</w:t>
            </w:r>
          </w:p>
        </w:tc>
        <w:tc>
          <w:tcPr>
            <w:tcW w:w="1140" w:type="dxa"/>
            <w:noWrap/>
            <w:hideMark/>
          </w:tcPr>
          <w:p w14:paraId="2919EF3C" w14:textId="69A0F979"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73 749</w:t>
            </w:r>
          </w:p>
        </w:tc>
        <w:tc>
          <w:tcPr>
            <w:tcW w:w="1140" w:type="dxa"/>
            <w:noWrap/>
            <w:hideMark/>
          </w:tcPr>
          <w:p w14:paraId="62FB87B8" w14:textId="37674CDB"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-7 588</w:t>
            </w:r>
          </w:p>
        </w:tc>
        <w:tc>
          <w:tcPr>
            <w:tcW w:w="1140" w:type="dxa"/>
            <w:noWrap/>
            <w:hideMark/>
          </w:tcPr>
          <w:p w14:paraId="66927D27" w14:textId="26670E81"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-109 219</w:t>
            </w:r>
          </w:p>
        </w:tc>
        <w:tc>
          <w:tcPr>
            <w:tcW w:w="1116" w:type="dxa"/>
            <w:noWrap/>
            <w:hideMark/>
          </w:tcPr>
          <w:p w14:paraId="1CD81CCF" w14:textId="4DC4DB7E" w:rsidR="00AA77E9" w:rsidRPr="00D25AB9" w:rsidRDefault="00D76F78" w:rsidP="00FA347B">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FA347B" w:rsidRPr="00D25AB9">
              <w:rPr>
                <w:rFonts w:ascii="Arial Narrow" w:eastAsia="Times New Roman" w:hAnsi="Arial Narrow" w:cstheme="minorHAnsi"/>
                <w:sz w:val="22"/>
                <w:szCs w:val="22"/>
                <w:lang w:eastAsia="lv-LV"/>
              </w:rPr>
              <w:t>182 968</w:t>
            </w:r>
          </w:p>
        </w:tc>
        <w:tc>
          <w:tcPr>
            <w:tcW w:w="1281" w:type="dxa"/>
            <w:noWrap/>
            <w:hideMark/>
          </w:tcPr>
          <w:p w14:paraId="29D5EA4C" w14:textId="376E8919" w:rsidR="00AA77E9" w:rsidRPr="00D25AB9" w:rsidRDefault="00AA77E9" w:rsidP="009F744A">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9F744A" w:rsidRPr="00D25AB9">
              <w:rPr>
                <w:rFonts w:ascii="Arial Narrow" w:eastAsia="Times New Roman" w:hAnsi="Arial Narrow" w:cstheme="minorHAnsi"/>
                <w:sz w:val="22"/>
                <w:szCs w:val="22"/>
                <w:lang w:eastAsia="lv-LV"/>
              </w:rPr>
              <w:t>248,10</w:t>
            </w:r>
            <w:r w:rsidR="00D76F78" w:rsidRPr="00D25AB9">
              <w:rPr>
                <w:rFonts w:ascii="Arial Narrow" w:eastAsia="Times New Roman" w:hAnsi="Arial Narrow" w:cstheme="minorHAnsi"/>
                <w:sz w:val="22"/>
                <w:szCs w:val="22"/>
                <w:lang w:eastAsia="lv-LV"/>
              </w:rPr>
              <w:t>%</w:t>
            </w:r>
          </w:p>
        </w:tc>
        <w:tc>
          <w:tcPr>
            <w:tcW w:w="1015" w:type="dxa"/>
            <w:noWrap/>
            <w:hideMark/>
          </w:tcPr>
          <w:p w14:paraId="0E8A28D3" w14:textId="27585086" w:rsidR="00AA77E9" w:rsidRPr="00D25AB9" w:rsidRDefault="009F744A"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-101 631</w:t>
            </w:r>
          </w:p>
        </w:tc>
        <w:tc>
          <w:tcPr>
            <w:tcW w:w="1147" w:type="dxa"/>
            <w:noWrap/>
            <w:hideMark/>
          </w:tcPr>
          <w:p w14:paraId="654CD781" w14:textId="20B090D5" w:rsidR="00AA77E9" w:rsidRPr="00D25AB9" w:rsidRDefault="009F744A" w:rsidP="009F744A">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1 339,36</w:t>
            </w:r>
            <w:r w:rsidR="00AA77E9" w:rsidRPr="00D25AB9">
              <w:rPr>
                <w:rFonts w:ascii="Arial Narrow" w:eastAsia="Times New Roman" w:hAnsi="Arial Narrow" w:cstheme="minorHAnsi"/>
                <w:sz w:val="22"/>
                <w:szCs w:val="22"/>
                <w:lang w:eastAsia="lv-LV"/>
              </w:rPr>
              <w:t>%</w:t>
            </w:r>
          </w:p>
        </w:tc>
      </w:tr>
      <w:tr w:rsidR="00AA77E9" w:rsidRPr="00D25AB9" w14:paraId="15E08A30" w14:textId="77777777" w:rsidTr="009F744A">
        <w:trPr>
          <w:trHeight w:val="315"/>
        </w:trPr>
        <w:tc>
          <w:tcPr>
            <w:tcW w:w="1975" w:type="dxa"/>
            <w:noWrap/>
            <w:hideMark/>
          </w:tcPr>
          <w:p w14:paraId="6C34B39C" w14:textId="77777777" w:rsidR="00AA77E9" w:rsidRPr="00D25AB9" w:rsidRDefault="00AA77E9" w:rsidP="00AA77E9">
            <w:pPr>
              <w:spacing w:before="0"/>
              <w:jc w:val="left"/>
              <w:rPr>
                <w:rFonts w:ascii="Arial Narrow" w:eastAsia="Times New Roman" w:hAnsi="Arial Narrow" w:cstheme="minorHAnsi"/>
                <w:color w:val="000000"/>
                <w:sz w:val="22"/>
                <w:szCs w:val="22"/>
                <w:lang w:eastAsia="lv-LV"/>
              </w:rPr>
            </w:pPr>
            <w:r w:rsidRPr="00D25AB9">
              <w:rPr>
                <w:rFonts w:ascii="Arial Narrow" w:eastAsia="Times New Roman" w:hAnsi="Arial Narrow" w:cstheme="minorHAnsi"/>
                <w:color w:val="000000"/>
                <w:sz w:val="22"/>
                <w:szCs w:val="22"/>
                <w:lang w:eastAsia="lv-LV"/>
              </w:rPr>
              <w:t>Plānotie ieguldījumi</w:t>
            </w:r>
          </w:p>
        </w:tc>
        <w:tc>
          <w:tcPr>
            <w:tcW w:w="1140" w:type="dxa"/>
            <w:noWrap/>
            <w:hideMark/>
          </w:tcPr>
          <w:p w14:paraId="3CDB4F26" w14:textId="5919E41B" w:rsidR="00AA77E9" w:rsidRPr="00D25AB9" w:rsidRDefault="00F836BF"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544</w:t>
            </w:r>
          </w:p>
        </w:tc>
        <w:tc>
          <w:tcPr>
            <w:tcW w:w="1140" w:type="dxa"/>
            <w:noWrap/>
            <w:hideMark/>
          </w:tcPr>
          <w:p w14:paraId="447838CD" w14:textId="53C7A7B6"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421 089</w:t>
            </w:r>
          </w:p>
        </w:tc>
        <w:tc>
          <w:tcPr>
            <w:tcW w:w="1140" w:type="dxa"/>
            <w:noWrap/>
            <w:hideMark/>
          </w:tcPr>
          <w:p w14:paraId="5327DBB3" w14:textId="692373A0"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43</w:t>
            </w:r>
            <w:r w:rsidR="00A6546D" w:rsidRPr="00D25AB9">
              <w:rPr>
                <w:rFonts w:ascii="Arial Narrow" w:eastAsia="Times New Roman" w:hAnsi="Arial Narrow" w:cstheme="minorHAnsi"/>
                <w:sz w:val="22"/>
                <w:szCs w:val="22"/>
                <w:lang w:eastAsia="lv-LV"/>
              </w:rPr>
              <w:t>0</w:t>
            </w:r>
            <w:r w:rsidRPr="00D25AB9">
              <w:rPr>
                <w:rFonts w:ascii="Arial Narrow" w:eastAsia="Times New Roman" w:hAnsi="Arial Narrow" w:cstheme="minorHAnsi"/>
                <w:sz w:val="22"/>
                <w:szCs w:val="22"/>
                <w:lang w:eastAsia="lv-LV"/>
              </w:rPr>
              <w:t xml:space="preserve"> 937</w:t>
            </w:r>
          </w:p>
        </w:tc>
        <w:tc>
          <w:tcPr>
            <w:tcW w:w="1116" w:type="dxa"/>
            <w:noWrap/>
            <w:hideMark/>
          </w:tcPr>
          <w:p w14:paraId="3B2449F4" w14:textId="5ACFBDAE" w:rsidR="00AA77E9" w:rsidRPr="00D25AB9" w:rsidRDefault="009F744A"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430 939</w:t>
            </w:r>
          </w:p>
        </w:tc>
        <w:tc>
          <w:tcPr>
            <w:tcW w:w="1281" w:type="dxa"/>
            <w:noWrap/>
            <w:hideMark/>
          </w:tcPr>
          <w:p w14:paraId="7A35ED01" w14:textId="0A5BF496" w:rsidR="00AA77E9" w:rsidRPr="00D25AB9" w:rsidRDefault="009F744A" w:rsidP="009F744A">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79116,36</w:t>
            </w:r>
            <w:r w:rsidR="00AA77E9" w:rsidRPr="00D25AB9">
              <w:rPr>
                <w:rFonts w:ascii="Arial Narrow" w:eastAsia="Times New Roman" w:hAnsi="Arial Narrow" w:cstheme="minorHAnsi"/>
                <w:sz w:val="22"/>
                <w:szCs w:val="22"/>
                <w:lang w:eastAsia="lv-LV"/>
              </w:rPr>
              <w:t>%</w:t>
            </w:r>
          </w:p>
        </w:tc>
        <w:tc>
          <w:tcPr>
            <w:tcW w:w="1015" w:type="dxa"/>
            <w:noWrap/>
            <w:hideMark/>
          </w:tcPr>
          <w:p w14:paraId="01D237A1" w14:textId="70064AE6" w:rsidR="00AA77E9" w:rsidRPr="00D25AB9" w:rsidRDefault="009F744A"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9 848</w:t>
            </w:r>
          </w:p>
        </w:tc>
        <w:tc>
          <w:tcPr>
            <w:tcW w:w="1147" w:type="dxa"/>
            <w:noWrap/>
            <w:hideMark/>
          </w:tcPr>
          <w:p w14:paraId="78ACBD21" w14:textId="0B4CA989" w:rsidR="00AA77E9" w:rsidRPr="00D25AB9" w:rsidRDefault="009F744A" w:rsidP="009F744A">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2,34%</w:t>
            </w:r>
          </w:p>
        </w:tc>
      </w:tr>
      <w:tr w:rsidR="00AA77E9" w:rsidRPr="00D25AB9" w14:paraId="35AB3D5C" w14:textId="77777777" w:rsidTr="009F744A">
        <w:trPr>
          <w:trHeight w:val="315"/>
        </w:trPr>
        <w:tc>
          <w:tcPr>
            <w:tcW w:w="1975" w:type="dxa"/>
            <w:hideMark/>
          </w:tcPr>
          <w:p w14:paraId="62220CE8" w14:textId="12B78F47" w:rsidR="00AA77E9" w:rsidRPr="00D25AB9" w:rsidRDefault="00AA77E9" w:rsidP="00AA77E9">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Naudas atlikums perioda beigās</w:t>
            </w:r>
          </w:p>
        </w:tc>
        <w:tc>
          <w:tcPr>
            <w:tcW w:w="1140" w:type="dxa"/>
            <w:noWrap/>
            <w:hideMark/>
          </w:tcPr>
          <w:p w14:paraId="4F560655" w14:textId="1438B1C0" w:rsidR="00AA77E9" w:rsidRPr="00D25AB9" w:rsidRDefault="00F836BF" w:rsidP="00FA347B">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w:t>
            </w:r>
            <w:r w:rsidR="00FA347B" w:rsidRPr="00D25AB9">
              <w:rPr>
                <w:rFonts w:ascii="Arial Narrow" w:eastAsia="Times New Roman" w:hAnsi="Arial Narrow" w:cstheme="minorHAnsi"/>
                <w:sz w:val="22"/>
                <w:szCs w:val="22"/>
                <w:lang w:eastAsia="lv-LV"/>
              </w:rPr>
              <w:t> 120 228</w:t>
            </w:r>
          </w:p>
        </w:tc>
        <w:tc>
          <w:tcPr>
            <w:tcW w:w="1140" w:type="dxa"/>
            <w:noWrap/>
            <w:hideMark/>
          </w:tcPr>
          <w:p w14:paraId="323DD3DB" w14:textId="4E0D8007"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854 868</w:t>
            </w:r>
          </w:p>
        </w:tc>
        <w:tc>
          <w:tcPr>
            <w:tcW w:w="1140" w:type="dxa"/>
            <w:noWrap/>
            <w:hideMark/>
          </w:tcPr>
          <w:p w14:paraId="6AAF0DFA" w14:textId="09E0F567" w:rsidR="00AA77E9" w:rsidRPr="00D25AB9" w:rsidRDefault="00FA347B"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723 040</w:t>
            </w:r>
          </w:p>
          <w:p w14:paraId="08F53E65" w14:textId="750562DF" w:rsidR="00FA347B" w:rsidRPr="00D25AB9" w:rsidRDefault="00FA347B" w:rsidP="00AA77E9">
            <w:pPr>
              <w:spacing w:before="0"/>
              <w:jc w:val="right"/>
              <w:rPr>
                <w:rFonts w:ascii="Arial Narrow" w:eastAsia="Times New Roman" w:hAnsi="Arial Narrow" w:cstheme="minorHAnsi"/>
                <w:sz w:val="22"/>
                <w:szCs w:val="22"/>
                <w:lang w:eastAsia="lv-LV"/>
              </w:rPr>
            </w:pPr>
          </w:p>
        </w:tc>
        <w:tc>
          <w:tcPr>
            <w:tcW w:w="1116" w:type="dxa"/>
            <w:noWrap/>
            <w:hideMark/>
          </w:tcPr>
          <w:p w14:paraId="43676742" w14:textId="687F63A7" w:rsidR="00AA77E9" w:rsidRPr="00D25AB9" w:rsidRDefault="009F744A"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-397 188</w:t>
            </w:r>
          </w:p>
        </w:tc>
        <w:tc>
          <w:tcPr>
            <w:tcW w:w="1281" w:type="dxa"/>
            <w:noWrap/>
            <w:hideMark/>
          </w:tcPr>
          <w:p w14:paraId="70F11C26" w14:textId="7A4C945A" w:rsidR="00AA77E9" w:rsidRPr="00D25AB9" w:rsidRDefault="002E2718" w:rsidP="009F744A">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9F744A" w:rsidRPr="00D25AB9">
              <w:rPr>
                <w:rFonts w:ascii="Arial Narrow" w:eastAsia="Times New Roman" w:hAnsi="Arial Narrow" w:cstheme="minorHAnsi"/>
                <w:sz w:val="22"/>
                <w:szCs w:val="22"/>
                <w:lang w:eastAsia="lv-LV"/>
              </w:rPr>
              <w:t>35,46</w:t>
            </w:r>
            <w:r w:rsidR="00AA77E9" w:rsidRPr="00D25AB9">
              <w:rPr>
                <w:rFonts w:ascii="Arial Narrow" w:eastAsia="Times New Roman" w:hAnsi="Arial Narrow" w:cstheme="minorHAnsi"/>
                <w:sz w:val="22"/>
                <w:szCs w:val="22"/>
                <w:lang w:eastAsia="lv-LV"/>
              </w:rPr>
              <w:t>%</w:t>
            </w:r>
          </w:p>
        </w:tc>
        <w:tc>
          <w:tcPr>
            <w:tcW w:w="1015" w:type="dxa"/>
            <w:noWrap/>
            <w:hideMark/>
          </w:tcPr>
          <w:p w14:paraId="6CD1E174" w14:textId="08E6642F" w:rsidR="00AA77E9" w:rsidRPr="00D25AB9" w:rsidRDefault="009F744A" w:rsidP="00AA77E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-313 828</w:t>
            </w:r>
          </w:p>
        </w:tc>
        <w:tc>
          <w:tcPr>
            <w:tcW w:w="1147" w:type="dxa"/>
            <w:noWrap/>
            <w:hideMark/>
          </w:tcPr>
          <w:p w14:paraId="4AC2FE86" w14:textId="0F30D27E" w:rsidR="00AA77E9" w:rsidRPr="00D25AB9" w:rsidRDefault="009F744A" w:rsidP="00AA77E9">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-15,42</w:t>
            </w:r>
            <w:r w:rsidR="00AA77E9" w:rsidRPr="00D25AB9">
              <w:rPr>
                <w:rFonts w:ascii="Arial Narrow" w:eastAsia="Times New Roman" w:hAnsi="Arial Narrow" w:cstheme="minorHAnsi"/>
                <w:sz w:val="22"/>
                <w:szCs w:val="22"/>
                <w:lang w:eastAsia="lv-LV"/>
              </w:rPr>
              <w:t>%</w:t>
            </w:r>
          </w:p>
        </w:tc>
      </w:tr>
    </w:tbl>
    <w:p w14:paraId="6F0F9108" w14:textId="77777777" w:rsidR="0097345E" w:rsidRDefault="0023746B" w:rsidP="00CB3193">
      <w:pPr>
        <w:rPr>
          <w:rFonts w:ascii="Arial Narrow" w:hAnsi="Arial Narrow"/>
        </w:rPr>
      </w:pPr>
      <w:r w:rsidRPr="00D25AB9">
        <w:rPr>
          <w:rFonts w:ascii="Arial Narrow" w:hAnsi="Arial Narrow" w:cstheme="minorHAnsi"/>
        </w:rPr>
        <w:t>Salīdzinot ar 202</w:t>
      </w:r>
      <w:r w:rsidR="00C4798F" w:rsidRPr="00D25AB9">
        <w:rPr>
          <w:rFonts w:ascii="Arial Narrow" w:hAnsi="Arial Narrow" w:cstheme="minorHAnsi"/>
        </w:rPr>
        <w:t>4</w:t>
      </w:r>
      <w:r w:rsidRPr="00D25AB9">
        <w:rPr>
          <w:rFonts w:ascii="Arial Narrow" w:hAnsi="Arial Narrow" w:cstheme="minorHAnsi"/>
        </w:rPr>
        <w:t>.gadu</w:t>
      </w:r>
      <w:r w:rsidR="00B461BC" w:rsidRPr="00D25AB9">
        <w:rPr>
          <w:rFonts w:ascii="Arial Narrow" w:hAnsi="Arial Narrow" w:cstheme="minorHAnsi"/>
        </w:rPr>
        <w:t xml:space="preserve"> </w:t>
      </w:r>
      <w:r w:rsidR="009F744A" w:rsidRPr="00D25AB9">
        <w:rPr>
          <w:rFonts w:ascii="Arial Narrow" w:hAnsi="Arial Narrow" w:cstheme="minorHAnsi"/>
        </w:rPr>
        <w:t xml:space="preserve">6 </w:t>
      </w:r>
      <w:proofErr w:type="spellStart"/>
      <w:r w:rsidR="009F744A" w:rsidRPr="00D25AB9">
        <w:rPr>
          <w:rFonts w:ascii="Arial Narrow" w:hAnsi="Arial Narrow" w:cstheme="minorHAnsi"/>
        </w:rPr>
        <w:t>mēn</w:t>
      </w:r>
      <w:proofErr w:type="spellEnd"/>
      <w:r w:rsidR="009F744A" w:rsidRPr="00D25AB9">
        <w:rPr>
          <w:rFonts w:ascii="Arial Narrow" w:hAnsi="Arial Narrow" w:cstheme="minorHAnsi"/>
        </w:rPr>
        <w:t>.</w:t>
      </w:r>
      <w:r w:rsidRPr="00D25AB9">
        <w:rPr>
          <w:rFonts w:ascii="Arial Narrow" w:hAnsi="Arial Narrow" w:cstheme="minorHAnsi"/>
        </w:rPr>
        <w:t>, 202</w:t>
      </w:r>
      <w:r w:rsidR="00C4798F" w:rsidRPr="00D25AB9">
        <w:rPr>
          <w:rFonts w:ascii="Arial Narrow" w:hAnsi="Arial Narrow" w:cstheme="minorHAnsi"/>
        </w:rPr>
        <w:t>5</w:t>
      </w:r>
      <w:r w:rsidRPr="00D25AB9">
        <w:rPr>
          <w:rFonts w:ascii="Arial Narrow" w:hAnsi="Arial Narrow" w:cstheme="minorHAnsi"/>
        </w:rPr>
        <w:t>.gadā</w:t>
      </w:r>
      <w:r w:rsidR="00B461BC" w:rsidRPr="00D25AB9">
        <w:rPr>
          <w:rFonts w:ascii="Arial Narrow" w:hAnsi="Arial Narrow" w:cstheme="minorHAnsi"/>
        </w:rPr>
        <w:t xml:space="preserve"> </w:t>
      </w:r>
      <w:r w:rsidR="009F744A" w:rsidRPr="00D25AB9">
        <w:rPr>
          <w:rFonts w:ascii="Arial Narrow" w:hAnsi="Arial Narrow" w:cstheme="minorHAnsi"/>
        </w:rPr>
        <w:t>sešos mēnešos</w:t>
      </w:r>
      <w:r w:rsidRPr="00D25AB9">
        <w:rPr>
          <w:rFonts w:ascii="Arial Narrow" w:hAnsi="Arial Narrow" w:cstheme="minorHAnsi"/>
        </w:rPr>
        <w:t xml:space="preserve"> izdevumu pieaugums bija straujāks par ieņēmumu pieaugumu, tomēr tas jau tika </w:t>
      </w:r>
      <w:r w:rsidR="00C4798F" w:rsidRPr="00D25AB9">
        <w:rPr>
          <w:rFonts w:ascii="Arial Narrow" w:hAnsi="Arial Narrow" w:cstheme="minorHAnsi"/>
        </w:rPr>
        <w:t xml:space="preserve">paredzēts ieviešot narkoloģijas profila pakalpojumus un tika norādīts </w:t>
      </w:r>
      <w:r w:rsidRPr="00D25AB9">
        <w:rPr>
          <w:rFonts w:ascii="Arial Narrow" w:hAnsi="Arial Narrow" w:cstheme="minorHAnsi"/>
        </w:rPr>
        <w:t>202</w:t>
      </w:r>
      <w:r w:rsidR="00C4798F" w:rsidRPr="00D25AB9">
        <w:rPr>
          <w:rFonts w:ascii="Arial Narrow" w:hAnsi="Arial Narrow" w:cstheme="minorHAnsi"/>
        </w:rPr>
        <w:t>5</w:t>
      </w:r>
      <w:r w:rsidRPr="00D25AB9">
        <w:rPr>
          <w:rFonts w:ascii="Arial Narrow" w:hAnsi="Arial Narrow" w:cstheme="minorHAnsi"/>
        </w:rPr>
        <w:t>.gada budžetā.</w:t>
      </w:r>
      <w:r w:rsidR="00D16A7B">
        <w:rPr>
          <w:rFonts w:ascii="Arial Narrow" w:hAnsi="Arial Narrow" w:cstheme="minorHAnsi"/>
        </w:rPr>
        <w:t xml:space="preserve"> </w:t>
      </w:r>
      <w:r w:rsidR="0097345E" w:rsidRPr="00D25AB9">
        <w:rPr>
          <w:rFonts w:ascii="Arial Narrow" w:hAnsi="Arial Narrow"/>
        </w:rPr>
        <w:t xml:space="preserve">Slimnīcas 2025.gada </w:t>
      </w:r>
      <w:r w:rsidR="0097345E">
        <w:rPr>
          <w:rFonts w:ascii="Arial Narrow" w:hAnsi="Arial Narrow"/>
        </w:rPr>
        <w:t>sešu mēnešu</w:t>
      </w:r>
      <w:r w:rsidR="0097345E" w:rsidRPr="00D25AB9">
        <w:rPr>
          <w:rFonts w:ascii="Arial Narrow" w:hAnsi="Arial Narrow"/>
        </w:rPr>
        <w:t xml:space="preserve"> dati liecina, ka narkoloģijas nodaļas faktiskie izdevumi būtiski pārsniedz faktiskos ieņēmumus, kas rada Slimnīcai zaudējumus.</w:t>
      </w:r>
      <w:r w:rsidR="0097345E">
        <w:rPr>
          <w:rFonts w:ascii="Arial Narrow" w:hAnsi="Arial Narrow"/>
        </w:rPr>
        <w:t xml:space="preserve"> </w:t>
      </w:r>
    </w:p>
    <w:p w14:paraId="7FDE72F4" w14:textId="36E0F479" w:rsidR="00CB3193" w:rsidRPr="00D16A7B" w:rsidRDefault="00FB7031" w:rsidP="00CB3193">
      <w:pPr>
        <w:rPr>
          <w:rFonts w:ascii="Arial Narrow" w:hAnsi="Arial Narrow" w:cstheme="minorHAnsi"/>
        </w:rPr>
      </w:pPr>
      <w:r w:rsidRPr="00D25AB9">
        <w:rPr>
          <w:rFonts w:ascii="Arial Narrow" w:hAnsi="Arial Narrow" w:cstheme="minorHAnsi"/>
        </w:rPr>
        <w:t xml:space="preserve">Slimnīcas bruto peļņa ir </w:t>
      </w:r>
      <w:r w:rsidR="009F744A" w:rsidRPr="00D25AB9">
        <w:rPr>
          <w:rFonts w:ascii="Arial Narrow" w:hAnsi="Arial Narrow" w:cstheme="minorHAnsi"/>
        </w:rPr>
        <w:t>48</w:t>
      </w:r>
      <w:r w:rsidR="00B461BC" w:rsidRPr="00D25AB9">
        <w:rPr>
          <w:rFonts w:ascii="Arial Narrow" w:hAnsi="Arial Narrow" w:cstheme="minorHAnsi"/>
        </w:rPr>
        <w:t>,</w:t>
      </w:r>
      <w:r w:rsidR="009F744A" w:rsidRPr="00D25AB9">
        <w:rPr>
          <w:rFonts w:ascii="Arial Narrow" w:hAnsi="Arial Narrow" w:cstheme="minorHAnsi"/>
        </w:rPr>
        <w:t>9 tūkstoši EUR.</w:t>
      </w:r>
      <w:r w:rsidRPr="00D25AB9">
        <w:rPr>
          <w:rFonts w:ascii="Arial Narrow" w:hAnsi="Arial Narrow" w:cstheme="minorHAnsi"/>
        </w:rPr>
        <w:t xml:space="preserve"> </w:t>
      </w:r>
      <w:r w:rsidR="00CB3193" w:rsidRPr="00D25AB9">
        <w:rPr>
          <w:rFonts w:ascii="Arial Narrow" w:hAnsi="Arial Narrow" w:cstheme="minorHAnsi"/>
        </w:rPr>
        <w:t xml:space="preserve">Kopumā pārskata perioda saimnieciskās darbības rezultāts ir </w:t>
      </w:r>
      <w:r w:rsidR="00B461BC" w:rsidRPr="00D25AB9">
        <w:rPr>
          <w:rFonts w:ascii="Arial Narrow" w:hAnsi="Arial Narrow" w:cstheme="minorHAnsi"/>
        </w:rPr>
        <w:t xml:space="preserve">zaudējumi </w:t>
      </w:r>
      <w:r w:rsidR="00CB3193" w:rsidRPr="00D25AB9">
        <w:rPr>
          <w:rFonts w:ascii="Arial Narrow" w:hAnsi="Arial Narrow" w:cstheme="minorHAnsi"/>
        </w:rPr>
        <w:t xml:space="preserve"> </w:t>
      </w:r>
      <w:r w:rsidR="009F744A" w:rsidRPr="00D25AB9">
        <w:rPr>
          <w:rFonts w:ascii="Arial Narrow" w:hAnsi="Arial Narrow" w:cstheme="minorHAnsi"/>
        </w:rPr>
        <w:t>109,2</w:t>
      </w:r>
      <w:r w:rsidR="00CB3193" w:rsidRPr="00D25AB9">
        <w:rPr>
          <w:rFonts w:ascii="Arial Narrow" w:hAnsi="Arial Narrow" w:cstheme="minorHAnsi"/>
        </w:rPr>
        <w:t xml:space="preserve"> tūkstoši EUR apmērā.</w:t>
      </w:r>
      <w:r w:rsidR="00AA77E9" w:rsidRPr="00D25AB9">
        <w:rPr>
          <w:rFonts w:ascii="Arial Narrow" w:hAnsi="Arial Narrow" w:cstheme="minorHAnsi"/>
        </w:rPr>
        <w:t xml:space="preserve"> Naudas līdzekļu atlikums uz perioda beigām ir par </w:t>
      </w:r>
      <w:r w:rsidR="009F744A" w:rsidRPr="00D25AB9">
        <w:rPr>
          <w:rFonts w:ascii="Arial Narrow" w:hAnsi="Arial Narrow" w:cstheme="minorHAnsi"/>
        </w:rPr>
        <w:t>313,8</w:t>
      </w:r>
      <w:r w:rsidR="00AA77E9" w:rsidRPr="00D25AB9">
        <w:rPr>
          <w:rFonts w:ascii="Arial Narrow" w:hAnsi="Arial Narrow" w:cstheme="minorHAnsi"/>
        </w:rPr>
        <w:t xml:space="preserve"> tūkstošiem EUR </w:t>
      </w:r>
      <w:r w:rsidR="002E2718" w:rsidRPr="00D25AB9">
        <w:rPr>
          <w:rFonts w:ascii="Arial Narrow" w:hAnsi="Arial Narrow" w:cstheme="minorHAnsi"/>
        </w:rPr>
        <w:t xml:space="preserve">mazāk </w:t>
      </w:r>
      <w:r w:rsidR="00AA77E9" w:rsidRPr="00D25AB9">
        <w:rPr>
          <w:rFonts w:ascii="Arial Narrow" w:hAnsi="Arial Narrow" w:cstheme="minorHAnsi"/>
        </w:rPr>
        <w:t>nekā plānots</w:t>
      </w:r>
      <w:r w:rsidR="006B392E" w:rsidRPr="00D25AB9">
        <w:rPr>
          <w:rFonts w:ascii="Arial Narrow" w:hAnsi="Arial Narrow" w:cstheme="minorHAnsi"/>
        </w:rPr>
        <w:t>.</w:t>
      </w:r>
    </w:p>
    <w:p w14:paraId="4DF663B5" w14:textId="66E12028" w:rsidR="00C912BF" w:rsidRPr="00D25AB9" w:rsidRDefault="00C912BF" w:rsidP="00131E43">
      <w:pPr>
        <w:rPr>
          <w:rFonts w:ascii="Arial Narrow" w:hAnsi="Arial Narrow" w:cstheme="minorHAnsi"/>
        </w:rPr>
      </w:pPr>
      <w:r w:rsidRPr="00D25AB9">
        <w:rPr>
          <w:rFonts w:ascii="Arial Narrow" w:hAnsi="Arial Narrow" w:cstheme="minorHAnsi"/>
        </w:rPr>
        <w:lastRenderedPageBreak/>
        <w:t>Ieņēmumu sadalījums 202</w:t>
      </w:r>
      <w:r w:rsidR="00C4798F" w:rsidRPr="00D25AB9">
        <w:rPr>
          <w:rFonts w:ascii="Arial Narrow" w:hAnsi="Arial Narrow" w:cstheme="minorHAnsi"/>
        </w:rPr>
        <w:t>5</w:t>
      </w:r>
      <w:r w:rsidRPr="00D25AB9">
        <w:rPr>
          <w:rFonts w:ascii="Arial Narrow" w:hAnsi="Arial Narrow" w:cstheme="minorHAnsi"/>
        </w:rPr>
        <w:t>. gada</w:t>
      </w:r>
      <w:r w:rsidR="00C4798F" w:rsidRPr="00D25AB9">
        <w:rPr>
          <w:rFonts w:ascii="Arial Narrow" w:hAnsi="Arial Narrow" w:cstheme="minorHAnsi"/>
        </w:rPr>
        <w:t xml:space="preserve"> </w:t>
      </w:r>
      <w:r w:rsidR="009F744A" w:rsidRPr="00D25AB9">
        <w:rPr>
          <w:rFonts w:ascii="Arial Narrow" w:hAnsi="Arial Narrow" w:cstheme="minorHAnsi"/>
        </w:rPr>
        <w:t>6</w:t>
      </w:r>
      <w:r w:rsidR="00C4798F" w:rsidRPr="00D25AB9">
        <w:rPr>
          <w:rFonts w:ascii="Arial Narrow" w:hAnsi="Arial Narrow" w:cstheme="minorHAnsi"/>
        </w:rPr>
        <w:t>. mēnešiem</w:t>
      </w:r>
      <w:r w:rsidR="00A938F6" w:rsidRPr="00D25AB9">
        <w:rPr>
          <w:rFonts w:ascii="Arial Narrow" w:hAnsi="Arial Narrow" w:cstheme="minorHAnsi"/>
        </w:rPr>
        <w:t>:</w:t>
      </w:r>
    </w:p>
    <w:tbl>
      <w:tblPr>
        <w:tblStyle w:val="GridTable1Light-Accent2"/>
        <w:tblW w:w="9485" w:type="dxa"/>
        <w:tblLook w:val="0420" w:firstRow="1" w:lastRow="0" w:firstColumn="0" w:lastColumn="0" w:noHBand="0" w:noVBand="1"/>
      </w:tblPr>
      <w:tblGrid>
        <w:gridCol w:w="1837"/>
        <w:gridCol w:w="1415"/>
        <w:gridCol w:w="1140"/>
        <w:gridCol w:w="1140"/>
        <w:gridCol w:w="940"/>
        <w:gridCol w:w="944"/>
        <w:gridCol w:w="1083"/>
        <w:gridCol w:w="986"/>
      </w:tblGrid>
      <w:tr w:rsidR="007F4A1A" w:rsidRPr="00D25AB9" w14:paraId="43184D96" w14:textId="77777777" w:rsidTr="000721DE">
        <w:trPr>
          <w:cnfStyle w:val="100000000000" w:firstRow="1" w:lastRow="0" w:firstColumn="0" w:lastColumn="0" w:oddVBand="0" w:evenVBand="0" w:oddHBand="0" w:evenHBand="0" w:firstRowFirstColumn="0" w:firstRowLastColumn="0" w:lastRowFirstColumn="0" w:lastRowLastColumn="0"/>
          <w:trHeight w:val="510"/>
          <w:tblHeader/>
        </w:trPr>
        <w:tc>
          <w:tcPr>
            <w:tcW w:w="1837" w:type="dxa"/>
            <w:vMerge w:val="restart"/>
            <w:hideMark/>
          </w:tcPr>
          <w:p w14:paraId="372B2AF3" w14:textId="77777777" w:rsidR="00A938F6" w:rsidRPr="00D25AB9" w:rsidRDefault="00A938F6" w:rsidP="00DD6EFE">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Nosaukums/ Mērvienība</w:t>
            </w:r>
          </w:p>
        </w:tc>
        <w:tc>
          <w:tcPr>
            <w:tcW w:w="1415" w:type="dxa"/>
            <w:vMerge w:val="restart"/>
            <w:hideMark/>
          </w:tcPr>
          <w:p w14:paraId="0E1B6E5E" w14:textId="1BAA208D" w:rsidR="00A938F6" w:rsidRPr="00D25AB9" w:rsidRDefault="00A938F6" w:rsidP="009F744A">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Izpilde 202</w:t>
            </w:r>
            <w:r w:rsidR="006D2D85" w:rsidRPr="00D25AB9">
              <w:rPr>
                <w:rFonts w:ascii="Arial Narrow" w:eastAsia="Times New Roman" w:hAnsi="Arial Narrow" w:cstheme="minorHAnsi"/>
                <w:sz w:val="22"/>
                <w:szCs w:val="22"/>
                <w:lang w:eastAsia="lv-LV"/>
              </w:rPr>
              <w:t>4</w:t>
            </w:r>
            <w:r w:rsidRPr="00D25AB9">
              <w:rPr>
                <w:rFonts w:ascii="Arial Narrow" w:eastAsia="Times New Roman" w:hAnsi="Arial Narrow" w:cstheme="minorHAnsi"/>
                <w:sz w:val="22"/>
                <w:szCs w:val="22"/>
                <w:lang w:eastAsia="lv-LV"/>
              </w:rPr>
              <w:t>. gada</w:t>
            </w:r>
            <w:r w:rsidR="006D2D85" w:rsidRPr="00D25AB9">
              <w:rPr>
                <w:rFonts w:ascii="Arial Narrow" w:eastAsia="Times New Roman" w:hAnsi="Arial Narrow" w:cstheme="minorHAnsi"/>
                <w:sz w:val="22"/>
                <w:szCs w:val="22"/>
                <w:lang w:eastAsia="lv-LV"/>
              </w:rPr>
              <w:t xml:space="preserve"> </w:t>
            </w:r>
            <w:r w:rsidR="009F744A" w:rsidRPr="00D25AB9">
              <w:rPr>
                <w:rFonts w:ascii="Arial Narrow" w:eastAsia="Times New Roman" w:hAnsi="Arial Narrow" w:cstheme="minorHAnsi"/>
                <w:sz w:val="22"/>
                <w:szCs w:val="22"/>
                <w:lang w:eastAsia="lv-LV"/>
              </w:rPr>
              <w:t>6</w:t>
            </w:r>
            <w:r w:rsidR="006D2D85" w:rsidRPr="00D25AB9">
              <w:rPr>
                <w:rFonts w:ascii="Arial Narrow" w:eastAsia="Times New Roman" w:hAnsi="Arial Narrow" w:cstheme="minorHAnsi"/>
                <w:sz w:val="22"/>
                <w:szCs w:val="22"/>
                <w:lang w:eastAsia="lv-LV"/>
              </w:rPr>
              <w:t xml:space="preserve"> </w:t>
            </w:r>
            <w:proofErr w:type="spellStart"/>
            <w:r w:rsidR="006D2D85"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w:t>
            </w:r>
          </w:p>
        </w:tc>
        <w:tc>
          <w:tcPr>
            <w:tcW w:w="1140" w:type="dxa"/>
            <w:vMerge w:val="restart"/>
            <w:hideMark/>
          </w:tcPr>
          <w:p w14:paraId="4D65C791" w14:textId="324CF876" w:rsidR="00A938F6" w:rsidRPr="00D25AB9" w:rsidRDefault="00A938F6" w:rsidP="009F744A">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Plāns 202</w:t>
            </w:r>
            <w:r w:rsidR="006D2D85"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 gada</w:t>
            </w:r>
            <w:r w:rsidR="006D2D85" w:rsidRPr="00D25AB9">
              <w:rPr>
                <w:rFonts w:ascii="Arial Narrow" w:eastAsia="Times New Roman" w:hAnsi="Arial Narrow" w:cstheme="minorHAnsi"/>
                <w:sz w:val="22"/>
                <w:szCs w:val="22"/>
                <w:lang w:eastAsia="lv-LV"/>
              </w:rPr>
              <w:t xml:space="preserve"> </w:t>
            </w:r>
            <w:r w:rsidR="009F744A" w:rsidRPr="00D25AB9">
              <w:rPr>
                <w:rFonts w:ascii="Arial Narrow" w:eastAsia="Times New Roman" w:hAnsi="Arial Narrow" w:cstheme="minorHAnsi"/>
                <w:sz w:val="22"/>
                <w:szCs w:val="22"/>
                <w:lang w:eastAsia="lv-LV"/>
              </w:rPr>
              <w:t>6</w:t>
            </w:r>
            <w:r w:rsidR="006D2D85" w:rsidRPr="00D25AB9">
              <w:rPr>
                <w:rFonts w:ascii="Arial Narrow" w:eastAsia="Times New Roman" w:hAnsi="Arial Narrow" w:cstheme="minorHAnsi"/>
                <w:sz w:val="22"/>
                <w:szCs w:val="22"/>
                <w:lang w:eastAsia="lv-LV"/>
              </w:rPr>
              <w:t xml:space="preserve"> </w:t>
            </w:r>
            <w:proofErr w:type="spellStart"/>
            <w:r w:rsidR="006D2D85"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w:t>
            </w:r>
          </w:p>
        </w:tc>
        <w:tc>
          <w:tcPr>
            <w:tcW w:w="1140" w:type="dxa"/>
            <w:vMerge w:val="restart"/>
            <w:hideMark/>
          </w:tcPr>
          <w:p w14:paraId="54A5E116" w14:textId="568036BA" w:rsidR="00A938F6" w:rsidRPr="00D25AB9" w:rsidRDefault="00A938F6" w:rsidP="009F744A">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Izpilde 202</w:t>
            </w:r>
            <w:r w:rsidR="006D2D85"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 gada</w:t>
            </w:r>
            <w:r w:rsidR="006D2D85" w:rsidRPr="00D25AB9">
              <w:rPr>
                <w:rFonts w:ascii="Arial Narrow" w:eastAsia="Times New Roman" w:hAnsi="Arial Narrow" w:cstheme="minorHAnsi"/>
                <w:sz w:val="22"/>
                <w:szCs w:val="22"/>
                <w:lang w:eastAsia="lv-LV"/>
              </w:rPr>
              <w:t xml:space="preserve"> </w:t>
            </w:r>
            <w:r w:rsidR="009F744A" w:rsidRPr="00D25AB9">
              <w:rPr>
                <w:rFonts w:ascii="Arial Narrow" w:eastAsia="Times New Roman" w:hAnsi="Arial Narrow" w:cstheme="minorHAnsi"/>
                <w:sz w:val="22"/>
                <w:szCs w:val="22"/>
                <w:lang w:eastAsia="lv-LV"/>
              </w:rPr>
              <w:t>6</w:t>
            </w:r>
            <w:r w:rsidR="006D2D85" w:rsidRPr="00D25AB9">
              <w:rPr>
                <w:rFonts w:ascii="Arial Narrow" w:eastAsia="Times New Roman" w:hAnsi="Arial Narrow" w:cstheme="minorHAnsi"/>
                <w:sz w:val="22"/>
                <w:szCs w:val="22"/>
                <w:lang w:eastAsia="lv-LV"/>
              </w:rPr>
              <w:t xml:space="preserve"> </w:t>
            </w:r>
            <w:proofErr w:type="spellStart"/>
            <w:r w:rsidR="006D2D85"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w:t>
            </w:r>
          </w:p>
        </w:tc>
        <w:tc>
          <w:tcPr>
            <w:tcW w:w="1884" w:type="dxa"/>
            <w:gridSpan w:val="2"/>
            <w:hideMark/>
          </w:tcPr>
          <w:p w14:paraId="7AB8F9E8" w14:textId="6327EED2" w:rsidR="00A938F6" w:rsidRPr="00D25AB9" w:rsidRDefault="00A938F6" w:rsidP="009F744A">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Novirze pret 202</w:t>
            </w:r>
            <w:r w:rsidR="006D2D85" w:rsidRPr="00D25AB9">
              <w:rPr>
                <w:rFonts w:ascii="Arial Narrow" w:eastAsia="Times New Roman" w:hAnsi="Arial Narrow" w:cstheme="minorHAnsi"/>
                <w:sz w:val="22"/>
                <w:szCs w:val="22"/>
                <w:lang w:eastAsia="lv-LV"/>
              </w:rPr>
              <w:t>4</w:t>
            </w:r>
            <w:r w:rsidRPr="00D25AB9">
              <w:rPr>
                <w:rFonts w:ascii="Arial Narrow" w:eastAsia="Times New Roman" w:hAnsi="Arial Narrow" w:cstheme="minorHAnsi"/>
                <w:sz w:val="22"/>
                <w:szCs w:val="22"/>
                <w:lang w:eastAsia="lv-LV"/>
              </w:rPr>
              <w:t>.gad</w:t>
            </w:r>
            <w:r w:rsidR="006D2D85" w:rsidRPr="00D25AB9">
              <w:rPr>
                <w:rFonts w:ascii="Arial Narrow" w:eastAsia="Times New Roman" w:hAnsi="Arial Narrow" w:cstheme="minorHAnsi"/>
                <w:sz w:val="22"/>
                <w:szCs w:val="22"/>
                <w:lang w:eastAsia="lv-LV"/>
              </w:rPr>
              <w:t xml:space="preserve">a </w:t>
            </w:r>
            <w:r w:rsidR="009F744A" w:rsidRPr="00D25AB9">
              <w:rPr>
                <w:rFonts w:ascii="Arial Narrow" w:eastAsia="Times New Roman" w:hAnsi="Arial Narrow" w:cstheme="minorHAnsi"/>
                <w:sz w:val="22"/>
                <w:szCs w:val="22"/>
                <w:lang w:eastAsia="lv-LV"/>
              </w:rPr>
              <w:t>6</w:t>
            </w:r>
            <w:r w:rsidR="006D2D85" w:rsidRPr="00D25AB9">
              <w:rPr>
                <w:rFonts w:ascii="Arial Narrow" w:eastAsia="Times New Roman" w:hAnsi="Arial Narrow" w:cstheme="minorHAnsi"/>
                <w:sz w:val="22"/>
                <w:szCs w:val="22"/>
                <w:lang w:eastAsia="lv-LV"/>
              </w:rPr>
              <w:t xml:space="preserve"> </w:t>
            </w:r>
            <w:proofErr w:type="spellStart"/>
            <w:r w:rsidR="006D2D85"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w:t>
            </w:r>
          </w:p>
        </w:tc>
        <w:tc>
          <w:tcPr>
            <w:tcW w:w="2069" w:type="dxa"/>
            <w:gridSpan w:val="2"/>
            <w:hideMark/>
          </w:tcPr>
          <w:p w14:paraId="25582F38" w14:textId="77AEF167" w:rsidR="00A938F6" w:rsidRPr="00D25AB9" w:rsidRDefault="00A938F6" w:rsidP="009F744A">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Novirze pret 202</w:t>
            </w:r>
            <w:r w:rsidR="006D2D85"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.gad</w:t>
            </w:r>
            <w:r w:rsidR="006D2D85" w:rsidRPr="00D25AB9">
              <w:rPr>
                <w:rFonts w:ascii="Arial Narrow" w:eastAsia="Times New Roman" w:hAnsi="Arial Narrow" w:cstheme="minorHAnsi"/>
                <w:sz w:val="22"/>
                <w:szCs w:val="22"/>
                <w:lang w:eastAsia="lv-LV"/>
              </w:rPr>
              <w:t xml:space="preserve">a </w:t>
            </w:r>
            <w:r w:rsidR="009F744A" w:rsidRPr="00D25AB9">
              <w:rPr>
                <w:rFonts w:ascii="Arial Narrow" w:eastAsia="Times New Roman" w:hAnsi="Arial Narrow" w:cstheme="minorHAnsi"/>
                <w:sz w:val="22"/>
                <w:szCs w:val="22"/>
                <w:lang w:eastAsia="lv-LV"/>
              </w:rPr>
              <w:t>6</w:t>
            </w:r>
            <w:r w:rsidR="006D2D85" w:rsidRPr="00D25AB9">
              <w:rPr>
                <w:rFonts w:ascii="Arial Narrow" w:eastAsia="Times New Roman" w:hAnsi="Arial Narrow" w:cstheme="minorHAnsi"/>
                <w:sz w:val="22"/>
                <w:szCs w:val="22"/>
                <w:lang w:eastAsia="lv-LV"/>
              </w:rPr>
              <w:t xml:space="preserve"> </w:t>
            </w:r>
            <w:proofErr w:type="spellStart"/>
            <w:r w:rsidR="006D2D85" w:rsidRPr="00D25AB9">
              <w:rPr>
                <w:rFonts w:ascii="Arial Narrow" w:eastAsia="Times New Roman" w:hAnsi="Arial Narrow" w:cstheme="minorHAnsi"/>
                <w:sz w:val="22"/>
                <w:szCs w:val="22"/>
                <w:lang w:eastAsia="lv-LV"/>
              </w:rPr>
              <w:t>mēn</w:t>
            </w:r>
            <w:proofErr w:type="spellEnd"/>
            <w:r w:rsidR="006D2D85" w:rsidRPr="00D25AB9">
              <w:rPr>
                <w:rFonts w:ascii="Arial Narrow" w:eastAsia="Times New Roman" w:hAnsi="Arial Narrow" w:cstheme="minorHAnsi"/>
                <w:sz w:val="22"/>
                <w:szCs w:val="22"/>
                <w:lang w:eastAsia="lv-LV"/>
              </w:rPr>
              <w:t>. plānu</w:t>
            </w:r>
          </w:p>
        </w:tc>
      </w:tr>
      <w:tr w:rsidR="007F4A1A" w:rsidRPr="00D25AB9" w14:paraId="7F4089CD" w14:textId="77777777" w:rsidTr="000721DE">
        <w:trPr>
          <w:cnfStyle w:val="100000000000" w:firstRow="1" w:lastRow="0" w:firstColumn="0" w:lastColumn="0" w:oddVBand="0" w:evenVBand="0" w:oddHBand="0" w:evenHBand="0" w:firstRowFirstColumn="0" w:firstRowLastColumn="0" w:lastRowFirstColumn="0" w:lastRowLastColumn="0"/>
          <w:trHeight w:val="315"/>
          <w:tblHeader/>
        </w:trPr>
        <w:tc>
          <w:tcPr>
            <w:tcW w:w="1837" w:type="dxa"/>
            <w:vMerge/>
            <w:hideMark/>
          </w:tcPr>
          <w:p w14:paraId="16654FF5" w14:textId="77777777" w:rsidR="00A938F6" w:rsidRPr="00D25AB9" w:rsidRDefault="00A938F6" w:rsidP="00A938F6">
            <w:pPr>
              <w:spacing w:before="0"/>
              <w:jc w:val="left"/>
              <w:rPr>
                <w:rFonts w:ascii="Arial Narrow" w:eastAsia="Times New Roman" w:hAnsi="Arial Narrow" w:cstheme="minorHAnsi"/>
                <w:b w:val="0"/>
                <w:bCs w:val="0"/>
                <w:sz w:val="22"/>
                <w:szCs w:val="22"/>
                <w:lang w:eastAsia="lv-LV"/>
              </w:rPr>
            </w:pPr>
          </w:p>
        </w:tc>
        <w:tc>
          <w:tcPr>
            <w:tcW w:w="1415" w:type="dxa"/>
            <w:vMerge/>
            <w:hideMark/>
          </w:tcPr>
          <w:p w14:paraId="47B92306" w14:textId="77777777" w:rsidR="00A938F6" w:rsidRPr="00D25AB9" w:rsidRDefault="00A938F6" w:rsidP="00A938F6">
            <w:pPr>
              <w:spacing w:before="0"/>
              <w:jc w:val="left"/>
              <w:rPr>
                <w:rFonts w:ascii="Arial Narrow" w:eastAsia="Times New Roman" w:hAnsi="Arial Narrow" w:cstheme="minorHAnsi"/>
                <w:b w:val="0"/>
                <w:bCs w:val="0"/>
                <w:sz w:val="22"/>
                <w:szCs w:val="22"/>
                <w:lang w:eastAsia="lv-LV"/>
              </w:rPr>
            </w:pPr>
          </w:p>
        </w:tc>
        <w:tc>
          <w:tcPr>
            <w:tcW w:w="1140" w:type="dxa"/>
            <w:vMerge/>
            <w:hideMark/>
          </w:tcPr>
          <w:p w14:paraId="24817FCA" w14:textId="77777777" w:rsidR="00A938F6" w:rsidRPr="00D25AB9" w:rsidRDefault="00A938F6" w:rsidP="00A938F6">
            <w:pPr>
              <w:spacing w:before="0"/>
              <w:jc w:val="left"/>
              <w:rPr>
                <w:rFonts w:ascii="Arial Narrow" w:eastAsia="Times New Roman" w:hAnsi="Arial Narrow" w:cstheme="minorHAnsi"/>
                <w:b w:val="0"/>
                <w:bCs w:val="0"/>
                <w:sz w:val="22"/>
                <w:szCs w:val="22"/>
                <w:lang w:eastAsia="lv-LV"/>
              </w:rPr>
            </w:pPr>
          </w:p>
        </w:tc>
        <w:tc>
          <w:tcPr>
            <w:tcW w:w="1140" w:type="dxa"/>
            <w:vMerge/>
            <w:hideMark/>
          </w:tcPr>
          <w:p w14:paraId="17101D5C" w14:textId="77777777" w:rsidR="00A938F6" w:rsidRPr="00D25AB9" w:rsidRDefault="00A938F6" w:rsidP="00A938F6">
            <w:pPr>
              <w:spacing w:before="0"/>
              <w:jc w:val="left"/>
              <w:rPr>
                <w:rFonts w:ascii="Arial Narrow" w:eastAsia="Times New Roman" w:hAnsi="Arial Narrow" w:cstheme="minorHAnsi"/>
                <w:b w:val="0"/>
                <w:bCs w:val="0"/>
                <w:sz w:val="22"/>
                <w:szCs w:val="22"/>
                <w:lang w:eastAsia="lv-LV"/>
              </w:rPr>
            </w:pPr>
          </w:p>
        </w:tc>
        <w:tc>
          <w:tcPr>
            <w:tcW w:w="940" w:type="dxa"/>
            <w:hideMark/>
          </w:tcPr>
          <w:p w14:paraId="60431601" w14:textId="77777777" w:rsidR="00A938F6" w:rsidRPr="00D25AB9" w:rsidRDefault="00A938F6" w:rsidP="00A938F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EUR</w:t>
            </w:r>
          </w:p>
        </w:tc>
        <w:tc>
          <w:tcPr>
            <w:tcW w:w="944" w:type="dxa"/>
            <w:hideMark/>
          </w:tcPr>
          <w:p w14:paraId="08B01E6D" w14:textId="77777777" w:rsidR="00A938F6" w:rsidRPr="00D25AB9" w:rsidRDefault="00A938F6" w:rsidP="00A938F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w:t>
            </w:r>
          </w:p>
        </w:tc>
        <w:tc>
          <w:tcPr>
            <w:tcW w:w="1083" w:type="dxa"/>
            <w:hideMark/>
          </w:tcPr>
          <w:p w14:paraId="678BEAF3" w14:textId="77777777" w:rsidR="00A938F6" w:rsidRPr="00D25AB9" w:rsidRDefault="00A938F6" w:rsidP="00A938F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EUR</w:t>
            </w:r>
          </w:p>
        </w:tc>
        <w:tc>
          <w:tcPr>
            <w:tcW w:w="986" w:type="dxa"/>
            <w:hideMark/>
          </w:tcPr>
          <w:p w14:paraId="7DC164AF" w14:textId="77777777" w:rsidR="00A938F6" w:rsidRPr="00D25AB9" w:rsidRDefault="00A938F6" w:rsidP="00A938F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w:t>
            </w:r>
          </w:p>
        </w:tc>
      </w:tr>
      <w:tr w:rsidR="00A938F6" w:rsidRPr="00D25AB9" w14:paraId="6FE6DA2A" w14:textId="77777777" w:rsidTr="000721DE">
        <w:trPr>
          <w:trHeight w:val="315"/>
        </w:trPr>
        <w:tc>
          <w:tcPr>
            <w:tcW w:w="1837" w:type="dxa"/>
            <w:hideMark/>
          </w:tcPr>
          <w:p w14:paraId="69F383F7" w14:textId="77777777" w:rsidR="00A938F6" w:rsidRPr="00D25AB9" w:rsidRDefault="00A938F6" w:rsidP="00A938F6">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Valsts stacionārie pakalpojumi</w:t>
            </w:r>
          </w:p>
        </w:tc>
        <w:tc>
          <w:tcPr>
            <w:tcW w:w="1415" w:type="dxa"/>
            <w:noWrap/>
            <w:hideMark/>
          </w:tcPr>
          <w:p w14:paraId="3E1A9CBB" w14:textId="163334D2"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2 166 854</w:t>
            </w:r>
          </w:p>
        </w:tc>
        <w:tc>
          <w:tcPr>
            <w:tcW w:w="1140" w:type="dxa"/>
            <w:noWrap/>
            <w:hideMark/>
          </w:tcPr>
          <w:p w14:paraId="1DFB9165" w14:textId="6077E50E"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2 512 698</w:t>
            </w:r>
          </w:p>
        </w:tc>
        <w:tc>
          <w:tcPr>
            <w:tcW w:w="1140" w:type="dxa"/>
            <w:noWrap/>
            <w:hideMark/>
          </w:tcPr>
          <w:p w14:paraId="570592E7" w14:textId="5542EF26" w:rsidR="00A938F6" w:rsidRPr="00D25AB9" w:rsidRDefault="00181E58" w:rsidP="00EA211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2 369 54</w:t>
            </w:r>
            <w:r w:rsidR="00EA2119" w:rsidRPr="00D25AB9">
              <w:rPr>
                <w:rFonts w:ascii="Arial Narrow" w:eastAsia="Times New Roman" w:hAnsi="Arial Narrow" w:cstheme="minorHAnsi"/>
                <w:sz w:val="22"/>
                <w:szCs w:val="22"/>
                <w:lang w:eastAsia="lv-LV"/>
              </w:rPr>
              <w:t>8</w:t>
            </w:r>
          </w:p>
        </w:tc>
        <w:tc>
          <w:tcPr>
            <w:tcW w:w="940" w:type="dxa"/>
            <w:noWrap/>
            <w:hideMark/>
          </w:tcPr>
          <w:p w14:paraId="0BE17F23" w14:textId="287972A6"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202 695</w:t>
            </w:r>
          </w:p>
        </w:tc>
        <w:tc>
          <w:tcPr>
            <w:tcW w:w="944" w:type="dxa"/>
            <w:noWrap/>
            <w:hideMark/>
          </w:tcPr>
          <w:p w14:paraId="64D725AC" w14:textId="08792B3E" w:rsidR="00A938F6" w:rsidRPr="00D25AB9" w:rsidRDefault="00181E58" w:rsidP="004B434F">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9,35</w:t>
            </w:r>
            <w:r w:rsidR="00A938F6" w:rsidRPr="00D25AB9">
              <w:rPr>
                <w:rFonts w:ascii="Arial Narrow" w:eastAsia="Times New Roman" w:hAnsi="Arial Narrow" w:cstheme="minorHAnsi"/>
                <w:sz w:val="22"/>
                <w:szCs w:val="22"/>
                <w:lang w:eastAsia="lv-LV"/>
              </w:rPr>
              <w:t>%</w:t>
            </w:r>
          </w:p>
        </w:tc>
        <w:tc>
          <w:tcPr>
            <w:tcW w:w="1083" w:type="dxa"/>
            <w:noWrap/>
            <w:hideMark/>
          </w:tcPr>
          <w:p w14:paraId="2CCD2E06" w14:textId="530D5840" w:rsidR="00A938F6" w:rsidRPr="00D25AB9" w:rsidRDefault="00181E58" w:rsidP="00185D21">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185D21" w:rsidRPr="00D25AB9">
              <w:rPr>
                <w:rFonts w:ascii="Arial Narrow" w:eastAsia="Times New Roman" w:hAnsi="Arial Narrow" w:cstheme="minorHAnsi"/>
                <w:sz w:val="22"/>
                <w:szCs w:val="22"/>
                <w:lang w:eastAsia="lv-LV"/>
              </w:rPr>
              <w:t>144149</w:t>
            </w:r>
          </w:p>
        </w:tc>
        <w:tc>
          <w:tcPr>
            <w:tcW w:w="986" w:type="dxa"/>
            <w:noWrap/>
            <w:hideMark/>
          </w:tcPr>
          <w:p w14:paraId="566B5D4B" w14:textId="7CF6D9F7" w:rsidR="00A938F6" w:rsidRPr="00D25AB9" w:rsidRDefault="004B434F" w:rsidP="00185D21">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181E58" w:rsidRPr="00D25AB9">
              <w:rPr>
                <w:rFonts w:ascii="Arial Narrow" w:eastAsia="Times New Roman" w:hAnsi="Arial Narrow" w:cstheme="minorHAnsi"/>
                <w:sz w:val="22"/>
                <w:szCs w:val="22"/>
                <w:lang w:eastAsia="lv-LV"/>
              </w:rPr>
              <w:t>5,7</w:t>
            </w:r>
            <w:r w:rsidR="00185D21" w:rsidRPr="00D25AB9">
              <w:rPr>
                <w:rFonts w:ascii="Arial Narrow" w:eastAsia="Times New Roman" w:hAnsi="Arial Narrow" w:cstheme="minorHAnsi"/>
                <w:sz w:val="22"/>
                <w:szCs w:val="22"/>
                <w:lang w:eastAsia="lv-LV"/>
              </w:rPr>
              <w:t>3</w:t>
            </w:r>
            <w:r w:rsidR="00A938F6" w:rsidRPr="00D25AB9">
              <w:rPr>
                <w:rFonts w:ascii="Arial Narrow" w:eastAsia="Times New Roman" w:hAnsi="Arial Narrow" w:cstheme="minorHAnsi"/>
                <w:sz w:val="22"/>
                <w:szCs w:val="22"/>
                <w:lang w:eastAsia="lv-LV"/>
              </w:rPr>
              <w:t>%</w:t>
            </w:r>
          </w:p>
        </w:tc>
      </w:tr>
      <w:tr w:rsidR="00A938F6" w:rsidRPr="00D25AB9" w14:paraId="389462DC" w14:textId="77777777" w:rsidTr="000721DE">
        <w:trPr>
          <w:trHeight w:val="315"/>
        </w:trPr>
        <w:tc>
          <w:tcPr>
            <w:tcW w:w="1837" w:type="dxa"/>
            <w:hideMark/>
          </w:tcPr>
          <w:p w14:paraId="064C67E2" w14:textId="7D674E74" w:rsidR="00A938F6" w:rsidRPr="00D25AB9" w:rsidRDefault="00A938F6" w:rsidP="00A938F6">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Valsts ambulatorie pakalpojumi</w:t>
            </w:r>
          </w:p>
        </w:tc>
        <w:tc>
          <w:tcPr>
            <w:tcW w:w="1415" w:type="dxa"/>
            <w:noWrap/>
            <w:hideMark/>
          </w:tcPr>
          <w:p w14:paraId="3C3A0EDC" w14:textId="5001CD46"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496 588</w:t>
            </w:r>
          </w:p>
        </w:tc>
        <w:tc>
          <w:tcPr>
            <w:tcW w:w="1140" w:type="dxa"/>
            <w:noWrap/>
            <w:hideMark/>
          </w:tcPr>
          <w:p w14:paraId="1A58EBE2" w14:textId="3AAE17EF"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505 115</w:t>
            </w:r>
          </w:p>
        </w:tc>
        <w:tc>
          <w:tcPr>
            <w:tcW w:w="1140" w:type="dxa"/>
            <w:noWrap/>
            <w:hideMark/>
          </w:tcPr>
          <w:p w14:paraId="605E0E66" w14:textId="606D354F"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510 723</w:t>
            </w:r>
          </w:p>
        </w:tc>
        <w:tc>
          <w:tcPr>
            <w:tcW w:w="940" w:type="dxa"/>
            <w:noWrap/>
            <w:hideMark/>
          </w:tcPr>
          <w:p w14:paraId="135B3BF8" w14:textId="689DDF28"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14 135</w:t>
            </w:r>
          </w:p>
        </w:tc>
        <w:tc>
          <w:tcPr>
            <w:tcW w:w="944" w:type="dxa"/>
            <w:noWrap/>
            <w:hideMark/>
          </w:tcPr>
          <w:p w14:paraId="2E185590" w14:textId="50D41E36" w:rsidR="00A938F6" w:rsidRPr="00D25AB9" w:rsidRDefault="00181E58" w:rsidP="00A938F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2,85</w:t>
            </w:r>
            <w:r w:rsidR="00A938F6" w:rsidRPr="00D25AB9">
              <w:rPr>
                <w:rFonts w:ascii="Arial Narrow" w:eastAsia="Times New Roman" w:hAnsi="Arial Narrow" w:cstheme="minorHAnsi"/>
                <w:sz w:val="22"/>
                <w:szCs w:val="22"/>
                <w:lang w:eastAsia="lv-LV"/>
              </w:rPr>
              <w:t>%</w:t>
            </w:r>
          </w:p>
        </w:tc>
        <w:tc>
          <w:tcPr>
            <w:tcW w:w="1083" w:type="dxa"/>
            <w:noWrap/>
            <w:hideMark/>
          </w:tcPr>
          <w:p w14:paraId="76973F30" w14:textId="1CD7BA56" w:rsidR="00A938F6" w:rsidRPr="00D25AB9" w:rsidRDefault="00185D21"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5 608</w:t>
            </w:r>
          </w:p>
        </w:tc>
        <w:tc>
          <w:tcPr>
            <w:tcW w:w="986" w:type="dxa"/>
            <w:noWrap/>
            <w:hideMark/>
          </w:tcPr>
          <w:p w14:paraId="23601863" w14:textId="5B99322F" w:rsidR="00A938F6" w:rsidRPr="00D25AB9" w:rsidRDefault="00185D21" w:rsidP="00185D21">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w:t>
            </w:r>
            <w:r w:rsidR="004B434F" w:rsidRPr="00D25AB9">
              <w:rPr>
                <w:rFonts w:ascii="Arial Narrow" w:eastAsia="Times New Roman" w:hAnsi="Arial Narrow" w:cstheme="minorHAnsi"/>
                <w:sz w:val="22"/>
                <w:szCs w:val="22"/>
                <w:lang w:eastAsia="lv-LV"/>
              </w:rPr>
              <w:t>,11</w:t>
            </w:r>
            <w:r w:rsidR="00A938F6" w:rsidRPr="00D25AB9">
              <w:rPr>
                <w:rFonts w:ascii="Arial Narrow" w:eastAsia="Times New Roman" w:hAnsi="Arial Narrow" w:cstheme="minorHAnsi"/>
                <w:sz w:val="22"/>
                <w:szCs w:val="22"/>
                <w:lang w:eastAsia="lv-LV"/>
              </w:rPr>
              <w:t>%</w:t>
            </w:r>
          </w:p>
        </w:tc>
      </w:tr>
      <w:tr w:rsidR="00A938F6" w:rsidRPr="00D25AB9" w14:paraId="1A579952" w14:textId="77777777" w:rsidTr="000721DE">
        <w:trPr>
          <w:trHeight w:val="142"/>
        </w:trPr>
        <w:tc>
          <w:tcPr>
            <w:tcW w:w="1837" w:type="dxa"/>
            <w:hideMark/>
          </w:tcPr>
          <w:p w14:paraId="2FA1640B" w14:textId="77777777" w:rsidR="00A938F6" w:rsidRPr="00D25AB9" w:rsidRDefault="00A938F6" w:rsidP="00A938F6">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Citi ieņēmumi no valsts budžeta</w:t>
            </w:r>
          </w:p>
        </w:tc>
        <w:tc>
          <w:tcPr>
            <w:tcW w:w="1415" w:type="dxa"/>
            <w:noWrap/>
            <w:hideMark/>
          </w:tcPr>
          <w:p w14:paraId="5D87D6D5" w14:textId="2759800C"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46 130</w:t>
            </w:r>
          </w:p>
        </w:tc>
        <w:tc>
          <w:tcPr>
            <w:tcW w:w="1140" w:type="dxa"/>
            <w:noWrap/>
            <w:hideMark/>
          </w:tcPr>
          <w:p w14:paraId="3F49853E" w14:textId="7E7D0A1D"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6 530</w:t>
            </w:r>
          </w:p>
        </w:tc>
        <w:tc>
          <w:tcPr>
            <w:tcW w:w="1140" w:type="dxa"/>
            <w:noWrap/>
            <w:hideMark/>
          </w:tcPr>
          <w:p w14:paraId="02896987" w14:textId="0E202545" w:rsidR="00A938F6" w:rsidRPr="00D25AB9" w:rsidRDefault="00215DE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13</w:t>
            </w:r>
            <w:r w:rsidR="004B434F" w:rsidRPr="00D25AB9">
              <w:rPr>
                <w:rFonts w:ascii="Arial Narrow" w:eastAsia="Times New Roman" w:hAnsi="Arial Narrow" w:cstheme="minorHAnsi"/>
                <w:sz w:val="22"/>
                <w:szCs w:val="22"/>
                <w:lang w:eastAsia="lv-LV"/>
              </w:rPr>
              <w:t xml:space="preserve"> </w:t>
            </w:r>
            <w:r w:rsidRPr="00D25AB9">
              <w:rPr>
                <w:rFonts w:ascii="Arial Narrow" w:eastAsia="Times New Roman" w:hAnsi="Arial Narrow" w:cstheme="minorHAnsi"/>
                <w:sz w:val="22"/>
                <w:szCs w:val="22"/>
                <w:lang w:eastAsia="lv-LV"/>
              </w:rPr>
              <w:t>058</w:t>
            </w:r>
          </w:p>
        </w:tc>
        <w:tc>
          <w:tcPr>
            <w:tcW w:w="940" w:type="dxa"/>
            <w:noWrap/>
            <w:hideMark/>
          </w:tcPr>
          <w:p w14:paraId="6CA216E3" w14:textId="057A0B81"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-33 072</w:t>
            </w:r>
          </w:p>
        </w:tc>
        <w:tc>
          <w:tcPr>
            <w:tcW w:w="944" w:type="dxa"/>
            <w:noWrap/>
            <w:hideMark/>
          </w:tcPr>
          <w:p w14:paraId="2155012C" w14:textId="03F469DB" w:rsidR="00A938F6" w:rsidRPr="00D25AB9" w:rsidRDefault="00A938F6" w:rsidP="004B434F">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181E58" w:rsidRPr="00D25AB9">
              <w:rPr>
                <w:rFonts w:ascii="Arial Narrow" w:eastAsia="Times New Roman" w:hAnsi="Arial Narrow" w:cstheme="minorHAnsi"/>
                <w:sz w:val="22"/>
                <w:szCs w:val="22"/>
                <w:lang w:eastAsia="lv-LV"/>
              </w:rPr>
              <w:t>71,69%</w:t>
            </w:r>
          </w:p>
        </w:tc>
        <w:tc>
          <w:tcPr>
            <w:tcW w:w="1083" w:type="dxa"/>
            <w:noWrap/>
            <w:hideMark/>
          </w:tcPr>
          <w:p w14:paraId="551AC562" w14:textId="108B226A" w:rsidR="00A938F6" w:rsidRPr="00D25AB9" w:rsidRDefault="00185D21"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6 528</w:t>
            </w:r>
          </w:p>
        </w:tc>
        <w:tc>
          <w:tcPr>
            <w:tcW w:w="986" w:type="dxa"/>
            <w:noWrap/>
            <w:hideMark/>
          </w:tcPr>
          <w:p w14:paraId="7F13169E" w14:textId="70CDD72C" w:rsidR="00A938F6" w:rsidRPr="00D25AB9" w:rsidRDefault="004B434F" w:rsidP="00185D21">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99,9</w:t>
            </w:r>
            <w:r w:rsidR="00185D21" w:rsidRPr="00D25AB9">
              <w:rPr>
                <w:rFonts w:ascii="Arial Narrow" w:eastAsia="Times New Roman" w:hAnsi="Arial Narrow" w:cstheme="minorHAnsi"/>
                <w:sz w:val="22"/>
                <w:szCs w:val="22"/>
                <w:lang w:eastAsia="lv-LV"/>
              </w:rPr>
              <w:t>7</w:t>
            </w:r>
            <w:r w:rsidR="00A938F6" w:rsidRPr="00D25AB9">
              <w:rPr>
                <w:rFonts w:ascii="Arial Narrow" w:eastAsia="Times New Roman" w:hAnsi="Arial Narrow" w:cstheme="minorHAnsi"/>
                <w:sz w:val="22"/>
                <w:szCs w:val="22"/>
                <w:lang w:eastAsia="lv-LV"/>
              </w:rPr>
              <w:t>%</w:t>
            </w:r>
          </w:p>
        </w:tc>
      </w:tr>
      <w:tr w:rsidR="00A938F6" w:rsidRPr="00D25AB9" w14:paraId="60CC90AB" w14:textId="77777777" w:rsidTr="000721DE">
        <w:trPr>
          <w:trHeight w:val="315"/>
        </w:trPr>
        <w:tc>
          <w:tcPr>
            <w:tcW w:w="1837" w:type="dxa"/>
            <w:hideMark/>
          </w:tcPr>
          <w:p w14:paraId="2DA1A440" w14:textId="77777777" w:rsidR="00A938F6" w:rsidRPr="00D25AB9" w:rsidRDefault="00A938F6" w:rsidP="00A938F6">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Maksas medicīniskie pakalpojumi</w:t>
            </w:r>
          </w:p>
        </w:tc>
        <w:tc>
          <w:tcPr>
            <w:tcW w:w="1415" w:type="dxa"/>
            <w:noWrap/>
            <w:hideMark/>
          </w:tcPr>
          <w:p w14:paraId="2D26ED57" w14:textId="718122CD"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14 868</w:t>
            </w:r>
          </w:p>
        </w:tc>
        <w:tc>
          <w:tcPr>
            <w:tcW w:w="1140" w:type="dxa"/>
            <w:noWrap/>
            <w:hideMark/>
          </w:tcPr>
          <w:p w14:paraId="496BDE06" w14:textId="5AC5E3BD"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23 030</w:t>
            </w:r>
          </w:p>
        </w:tc>
        <w:tc>
          <w:tcPr>
            <w:tcW w:w="1140" w:type="dxa"/>
            <w:noWrap/>
            <w:hideMark/>
          </w:tcPr>
          <w:p w14:paraId="4A316798" w14:textId="0199711F"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17 674</w:t>
            </w:r>
          </w:p>
        </w:tc>
        <w:tc>
          <w:tcPr>
            <w:tcW w:w="940" w:type="dxa"/>
            <w:noWrap/>
            <w:hideMark/>
          </w:tcPr>
          <w:p w14:paraId="7B54B46B" w14:textId="5C3C1573"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2 806</w:t>
            </w:r>
          </w:p>
          <w:p w14:paraId="645FFCC5" w14:textId="50BCF01F" w:rsidR="00181E58" w:rsidRPr="00D25AB9" w:rsidRDefault="00181E58" w:rsidP="00A938F6">
            <w:pPr>
              <w:spacing w:before="0"/>
              <w:jc w:val="right"/>
              <w:rPr>
                <w:rFonts w:ascii="Arial Narrow" w:eastAsia="Times New Roman" w:hAnsi="Arial Narrow" w:cstheme="minorHAnsi"/>
                <w:sz w:val="22"/>
                <w:szCs w:val="22"/>
                <w:lang w:eastAsia="lv-LV"/>
              </w:rPr>
            </w:pPr>
          </w:p>
        </w:tc>
        <w:tc>
          <w:tcPr>
            <w:tcW w:w="944" w:type="dxa"/>
            <w:noWrap/>
            <w:hideMark/>
          </w:tcPr>
          <w:p w14:paraId="51710781" w14:textId="23DB86B9" w:rsidR="00A938F6" w:rsidRPr="00D25AB9" w:rsidRDefault="00181E58" w:rsidP="00A938F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18,87</w:t>
            </w:r>
            <w:r w:rsidR="004B434F" w:rsidRPr="00D25AB9">
              <w:rPr>
                <w:rFonts w:ascii="Arial Narrow" w:eastAsia="Times New Roman" w:hAnsi="Arial Narrow" w:cstheme="minorHAnsi"/>
                <w:sz w:val="22"/>
                <w:szCs w:val="22"/>
                <w:lang w:eastAsia="lv-LV"/>
              </w:rPr>
              <w:t>%</w:t>
            </w:r>
          </w:p>
        </w:tc>
        <w:tc>
          <w:tcPr>
            <w:tcW w:w="1083" w:type="dxa"/>
            <w:noWrap/>
            <w:hideMark/>
          </w:tcPr>
          <w:p w14:paraId="7839B5F4" w14:textId="2D6DDFB0" w:rsidR="00A938F6" w:rsidRPr="00D25AB9" w:rsidRDefault="004B434F" w:rsidP="00185D21">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185D21" w:rsidRPr="00D25AB9">
              <w:rPr>
                <w:rFonts w:ascii="Arial Narrow" w:eastAsia="Times New Roman" w:hAnsi="Arial Narrow" w:cstheme="minorHAnsi"/>
                <w:sz w:val="22"/>
                <w:szCs w:val="22"/>
                <w:lang w:eastAsia="lv-LV"/>
              </w:rPr>
              <w:t>5 356</w:t>
            </w:r>
          </w:p>
        </w:tc>
        <w:tc>
          <w:tcPr>
            <w:tcW w:w="986" w:type="dxa"/>
            <w:noWrap/>
            <w:hideMark/>
          </w:tcPr>
          <w:p w14:paraId="59064687" w14:textId="28E8A970" w:rsidR="00A938F6" w:rsidRPr="00D25AB9" w:rsidRDefault="004B434F" w:rsidP="00185D21">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185D21" w:rsidRPr="00D25AB9">
              <w:rPr>
                <w:rFonts w:ascii="Arial Narrow" w:eastAsia="Times New Roman" w:hAnsi="Arial Narrow" w:cstheme="minorHAnsi"/>
                <w:sz w:val="22"/>
                <w:szCs w:val="22"/>
                <w:lang w:eastAsia="lv-LV"/>
              </w:rPr>
              <w:t>23,26</w:t>
            </w:r>
            <w:r w:rsidRPr="00D25AB9">
              <w:rPr>
                <w:rFonts w:ascii="Arial Narrow" w:eastAsia="Times New Roman" w:hAnsi="Arial Narrow" w:cstheme="minorHAnsi"/>
                <w:sz w:val="22"/>
                <w:szCs w:val="22"/>
                <w:lang w:eastAsia="lv-LV"/>
              </w:rPr>
              <w:t>%</w:t>
            </w:r>
          </w:p>
        </w:tc>
      </w:tr>
      <w:tr w:rsidR="00A938F6" w:rsidRPr="00D25AB9" w14:paraId="40E16494" w14:textId="77777777" w:rsidTr="000721DE">
        <w:trPr>
          <w:trHeight w:val="315"/>
        </w:trPr>
        <w:tc>
          <w:tcPr>
            <w:tcW w:w="1837" w:type="dxa"/>
            <w:hideMark/>
          </w:tcPr>
          <w:p w14:paraId="22D6D1FB" w14:textId="7B9A60EF" w:rsidR="00A938F6" w:rsidRPr="00D25AB9" w:rsidRDefault="00A938F6" w:rsidP="00A938F6">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Citi saimnieciskās darbības ieņēmumi</w:t>
            </w:r>
          </w:p>
        </w:tc>
        <w:tc>
          <w:tcPr>
            <w:tcW w:w="1415" w:type="dxa"/>
            <w:noWrap/>
            <w:hideMark/>
          </w:tcPr>
          <w:p w14:paraId="26424634" w14:textId="54392EFC"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57 976</w:t>
            </w:r>
          </w:p>
        </w:tc>
        <w:tc>
          <w:tcPr>
            <w:tcW w:w="1140" w:type="dxa"/>
            <w:noWrap/>
            <w:hideMark/>
          </w:tcPr>
          <w:p w14:paraId="578BFF52" w14:textId="0F77EA8E" w:rsidR="00A938F6" w:rsidRPr="00D25AB9" w:rsidRDefault="00185D21"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38750</w:t>
            </w:r>
          </w:p>
        </w:tc>
        <w:tc>
          <w:tcPr>
            <w:tcW w:w="1140" w:type="dxa"/>
            <w:noWrap/>
            <w:hideMark/>
          </w:tcPr>
          <w:p w14:paraId="30CEE31A" w14:textId="6001B157"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49 467</w:t>
            </w:r>
          </w:p>
        </w:tc>
        <w:tc>
          <w:tcPr>
            <w:tcW w:w="940" w:type="dxa"/>
            <w:noWrap/>
            <w:hideMark/>
          </w:tcPr>
          <w:p w14:paraId="0BEB2F05" w14:textId="62A740FD" w:rsidR="00A938F6" w:rsidRPr="00D25AB9" w:rsidRDefault="004B434F" w:rsidP="00181E58">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181E58" w:rsidRPr="00D25AB9">
              <w:rPr>
                <w:rFonts w:ascii="Arial Narrow" w:eastAsia="Times New Roman" w:hAnsi="Arial Narrow" w:cstheme="minorHAnsi"/>
                <w:sz w:val="22"/>
                <w:szCs w:val="22"/>
                <w:lang w:eastAsia="lv-LV"/>
              </w:rPr>
              <w:t>8 509</w:t>
            </w:r>
          </w:p>
        </w:tc>
        <w:tc>
          <w:tcPr>
            <w:tcW w:w="944" w:type="dxa"/>
            <w:noWrap/>
            <w:hideMark/>
          </w:tcPr>
          <w:p w14:paraId="58778CBC" w14:textId="63E3458A" w:rsidR="00A938F6" w:rsidRPr="00D25AB9" w:rsidRDefault="004B434F" w:rsidP="00181E58">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181E58" w:rsidRPr="00D25AB9">
              <w:rPr>
                <w:rFonts w:ascii="Arial Narrow" w:eastAsia="Times New Roman" w:hAnsi="Arial Narrow" w:cstheme="minorHAnsi"/>
                <w:sz w:val="22"/>
                <w:szCs w:val="22"/>
                <w:lang w:eastAsia="lv-LV"/>
              </w:rPr>
              <w:t>14,68</w:t>
            </w:r>
            <w:r w:rsidRPr="00D25AB9">
              <w:rPr>
                <w:rFonts w:ascii="Arial Narrow" w:eastAsia="Times New Roman" w:hAnsi="Arial Narrow" w:cstheme="minorHAnsi"/>
                <w:sz w:val="22"/>
                <w:szCs w:val="22"/>
                <w:lang w:eastAsia="lv-LV"/>
              </w:rPr>
              <w:t>%</w:t>
            </w:r>
          </w:p>
        </w:tc>
        <w:tc>
          <w:tcPr>
            <w:tcW w:w="1083" w:type="dxa"/>
            <w:noWrap/>
            <w:hideMark/>
          </w:tcPr>
          <w:p w14:paraId="7D5EF1CB" w14:textId="46EB97A4" w:rsidR="00A938F6" w:rsidRPr="00D25AB9" w:rsidRDefault="00185D21" w:rsidP="004B434F">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10 717</w:t>
            </w:r>
          </w:p>
        </w:tc>
        <w:tc>
          <w:tcPr>
            <w:tcW w:w="986" w:type="dxa"/>
            <w:noWrap/>
            <w:hideMark/>
          </w:tcPr>
          <w:p w14:paraId="3E6EEF5C" w14:textId="705B020B" w:rsidR="00A938F6" w:rsidRPr="00D25AB9" w:rsidRDefault="00185D21" w:rsidP="00185D21">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27,66</w:t>
            </w:r>
            <w:r w:rsidR="004B434F" w:rsidRPr="00D25AB9">
              <w:rPr>
                <w:rFonts w:ascii="Arial Narrow" w:eastAsia="Times New Roman" w:hAnsi="Arial Narrow" w:cstheme="minorHAnsi"/>
                <w:sz w:val="22"/>
                <w:szCs w:val="22"/>
                <w:lang w:eastAsia="lv-LV"/>
              </w:rPr>
              <w:t>%</w:t>
            </w:r>
          </w:p>
        </w:tc>
      </w:tr>
      <w:tr w:rsidR="00A938F6" w:rsidRPr="00D25AB9" w14:paraId="5DED5B31" w14:textId="77777777" w:rsidTr="000721DE">
        <w:trPr>
          <w:trHeight w:val="315"/>
        </w:trPr>
        <w:tc>
          <w:tcPr>
            <w:tcW w:w="1837" w:type="dxa"/>
            <w:hideMark/>
          </w:tcPr>
          <w:p w14:paraId="21DC5889" w14:textId="77777777" w:rsidR="00A938F6" w:rsidRPr="00D25AB9" w:rsidRDefault="00A938F6" w:rsidP="00A938F6">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Citi ieņēmumi</w:t>
            </w:r>
          </w:p>
        </w:tc>
        <w:tc>
          <w:tcPr>
            <w:tcW w:w="1415" w:type="dxa"/>
            <w:noWrap/>
            <w:hideMark/>
          </w:tcPr>
          <w:p w14:paraId="1D3D4049" w14:textId="64201909" w:rsidR="00A938F6" w:rsidRPr="00D25AB9" w:rsidRDefault="00181E58"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70 686</w:t>
            </w:r>
          </w:p>
        </w:tc>
        <w:tc>
          <w:tcPr>
            <w:tcW w:w="1140" w:type="dxa"/>
            <w:noWrap/>
            <w:hideMark/>
          </w:tcPr>
          <w:p w14:paraId="51D7F30E" w14:textId="19E090E9" w:rsidR="00A938F6" w:rsidRPr="00D25AB9" w:rsidRDefault="00181E58" w:rsidP="00181E58">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70 543</w:t>
            </w:r>
          </w:p>
        </w:tc>
        <w:tc>
          <w:tcPr>
            <w:tcW w:w="1140" w:type="dxa"/>
            <w:noWrap/>
            <w:hideMark/>
          </w:tcPr>
          <w:p w14:paraId="64944550" w14:textId="46836A1C" w:rsidR="00A938F6" w:rsidRPr="00D25AB9" w:rsidRDefault="00181E58" w:rsidP="00185D21">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70 54</w:t>
            </w:r>
            <w:r w:rsidR="00185D21" w:rsidRPr="00D25AB9">
              <w:rPr>
                <w:rFonts w:ascii="Arial Narrow" w:eastAsia="Times New Roman" w:hAnsi="Arial Narrow" w:cstheme="minorHAnsi"/>
                <w:sz w:val="22"/>
                <w:szCs w:val="22"/>
                <w:lang w:eastAsia="lv-LV"/>
              </w:rPr>
              <w:t>3</w:t>
            </w:r>
          </w:p>
        </w:tc>
        <w:tc>
          <w:tcPr>
            <w:tcW w:w="940" w:type="dxa"/>
            <w:noWrap/>
            <w:hideMark/>
          </w:tcPr>
          <w:p w14:paraId="2733F71D" w14:textId="72C9DFFD" w:rsidR="00A938F6" w:rsidRPr="00D25AB9" w:rsidRDefault="00181E58" w:rsidP="00185D21">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-14</w:t>
            </w:r>
            <w:r w:rsidR="00185D21" w:rsidRPr="00D25AB9">
              <w:rPr>
                <w:rFonts w:ascii="Arial Narrow" w:eastAsia="Times New Roman" w:hAnsi="Arial Narrow" w:cstheme="minorHAnsi"/>
                <w:sz w:val="22"/>
                <w:szCs w:val="22"/>
                <w:lang w:eastAsia="lv-LV"/>
              </w:rPr>
              <w:t>3</w:t>
            </w:r>
          </w:p>
        </w:tc>
        <w:tc>
          <w:tcPr>
            <w:tcW w:w="944" w:type="dxa"/>
            <w:noWrap/>
            <w:hideMark/>
          </w:tcPr>
          <w:p w14:paraId="0F9BE057" w14:textId="3612E666" w:rsidR="00A938F6" w:rsidRPr="00D25AB9" w:rsidRDefault="00181E58" w:rsidP="004B434F">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-0,20</w:t>
            </w:r>
            <w:r w:rsidR="004B434F" w:rsidRPr="00D25AB9">
              <w:rPr>
                <w:rFonts w:ascii="Arial Narrow" w:eastAsia="Times New Roman" w:hAnsi="Arial Narrow" w:cstheme="minorHAnsi"/>
                <w:sz w:val="22"/>
                <w:szCs w:val="22"/>
                <w:lang w:eastAsia="lv-LV"/>
              </w:rPr>
              <w:t>%</w:t>
            </w:r>
          </w:p>
        </w:tc>
        <w:tc>
          <w:tcPr>
            <w:tcW w:w="1083" w:type="dxa"/>
            <w:noWrap/>
            <w:hideMark/>
          </w:tcPr>
          <w:p w14:paraId="69FA240C" w14:textId="150233A2" w:rsidR="00A938F6" w:rsidRPr="00D25AB9" w:rsidRDefault="00185D21" w:rsidP="00A938F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0</w:t>
            </w:r>
          </w:p>
        </w:tc>
        <w:tc>
          <w:tcPr>
            <w:tcW w:w="986" w:type="dxa"/>
            <w:noWrap/>
            <w:hideMark/>
          </w:tcPr>
          <w:p w14:paraId="3C45D446" w14:textId="0D915B57" w:rsidR="00A938F6" w:rsidRPr="00D25AB9" w:rsidRDefault="00185D21" w:rsidP="00185D21">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0,00</w:t>
            </w:r>
            <w:r w:rsidR="004B434F" w:rsidRPr="00D25AB9">
              <w:rPr>
                <w:rFonts w:ascii="Arial Narrow" w:eastAsia="Times New Roman" w:hAnsi="Arial Narrow" w:cstheme="minorHAnsi"/>
                <w:sz w:val="22"/>
                <w:szCs w:val="22"/>
                <w:lang w:eastAsia="lv-LV"/>
              </w:rPr>
              <w:t>%</w:t>
            </w:r>
          </w:p>
        </w:tc>
      </w:tr>
    </w:tbl>
    <w:p w14:paraId="7614E34C" w14:textId="2736FF0C" w:rsidR="00A938F6" w:rsidRPr="00D25AB9" w:rsidRDefault="000721DE" w:rsidP="00131E43">
      <w:pPr>
        <w:rPr>
          <w:rFonts w:ascii="Arial Narrow" w:hAnsi="Arial Narrow" w:cstheme="minorHAnsi"/>
        </w:rPr>
      </w:pPr>
      <w:r w:rsidRPr="00D25AB9">
        <w:rPr>
          <w:rFonts w:ascii="Arial Narrow" w:hAnsi="Arial Narrow"/>
          <w:noProof/>
          <w:lang w:eastAsia="lv-LV"/>
        </w:rPr>
        <w:drawing>
          <wp:inline distT="0" distB="0" distL="0" distR="0" wp14:anchorId="2E3E99EC" wp14:editId="4D769CE8">
            <wp:extent cx="5448300" cy="2571750"/>
            <wp:effectExtent l="0" t="0" r="0"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060785D-D70A-40F3-889A-4E19F85EB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A03BE3" w14:textId="4E24D816" w:rsidR="00A938F6" w:rsidRPr="00D25AB9" w:rsidRDefault="69630B24" w:rsidP="69630B24">
      <w:pPr>
        <w:rPr>
          <w:rFonts w:ascii="Arial Narrow" w:hAnsi="Arial Narrow" w:cstheme="minorHAnsi"/>
          <w:color w:val="FF0000"/>
        </w:rPr>
      </w:pPr>
      <w:r w:rsidRPr="00D25AB9">
        <w:rPr>
          <w:rFonts w:ascii="Arial Narrow" w:hAnsi="Arial Narrow" w:cstheme="minorHAnsi"/>
        </w:rPr>
        <w:t>Slimnīcas ieņēmumus galvenokārt veido stacionāro veselības aprūpes pakalpojumu ieņēmumi, kas 202</w:t>
      </w:r>
      <w:r w:rsidR="00C4798F" w:rsidRPr="00D25AB9">
        <w:rPr>
          <w:rFonts w:ascii="Arial Narrow" w:hAnsi="Arial Narrow" w:cstheme="minorHAnsi"/>
        </w:rPr>
        <w:t>5</w:t>
      </w:r>
      <w:r w:rsidRPr="00D25AB9">
        <w:rPr>
          <w:rFonts w:ascii="Arial Narrow" w:hAnsi="Arial Narrow" w:cstheme="minorHAnsi"/>
        </w:rPr>
        <w:t>.gadā</w:t>
      </w:r>
      <w:r w:rsidR="00185D21" w:rsidRPr="00D25AB9">
        <w:rPr>
          <w:rFonts w:ascii="Arial Narrow" w:hAnsi="Arial Narrow" w:cstheme="minorHAnsi"/>
        </w:rPr>
        <w:t xml:space="preserve"> sešos mēnešos</w:t>
      </w:r>
      <w:r w:rsidRPr="00D25AB9">
        <w:rPr>
          <w:rFonts w:ascii="Arial Narrow" w:hAnsi="Arial Narrow" w:cstheme="minorHAnsi"/>
        </w:rPr>
        <w:t xml:space="preserve"> pieauguši par </w:t>
      </w:r>
      <w:r w:rsidR="00185D21" w:rsidRPr="00D25AB9">
        <w:rPr>
          <w:rFonts w:ascii="Arial Narrow" w:hAnsi="Arial Narrow" w:cstheme="minorHAnsi"/>
        </w:rPr>
        <w:t>9,35</w:t>
      </w:r>
      <w:r w:rsidRPr="00D25AB9">
        <w:rPr>
          <w:rFonts w:ascii="Arial Narrow" w:hAnsi="Arial Narrow" w:cstheme="minorHAnsi"/>
        </w:rPr>
        <w:t>% pret 202</w:t>
      </w:r>
      <w:r w:rsidR="00C4798F" w:rsidRPr="00D25AB9">
        <w:rPr>
          <w:rFonts w:ascii="Arial Narrow" w:hAnsi="Arial Narrow" w:cstheme="minorHAnsi"/>
        </w:rPr>
        <w:t>4</w:t>
      </w:r>
      <w:r w:rsidR="004B434F" w:rsidRPr="00D25AB9">
        <w:rPr>
          <w:rFonts w:ascii="Arial Narrow" w:hAnsi="Arial Narrow" w:cstheme="minorHAnsi"/>
        </w:rPr>
        <w:t xml:space="preserve">.gada </w:t>
      </w:r>
      <w:r w:rsidR="00185D21" w:rsidRPr="00D25AB9">
        <w:rPr>
          <w:rFonts w:ascii="Arial Narrow" w:hAnsi="Arial Narrow" w:cstheme="minorHAnsi"/>
        </w:rPr>
        <w:t xml:space="preserve">sešiem mēnešiem. </w:t>
      </w:r>
      <w:r w:rsidR="009A3ECD" w:rsidRPr="00D25AB9">
        <w:rPr>
          <w:rFonts w:ascii="Arial Narrow" w:hAnsi="Arial Narrow" w:cstheme="minorHAnsi"/>
        </w:rPr>
        <w:t>Plānoto pakalpojumu ieņēmumu novirze galvenokārt veidojas no rehabilitācijas pakalpojumiem</w:t>
      </w:r>
      <w:r w:rsidR="003D4191" w:rsidRPr="00D25AB9">
        <w:rPr>
          <w:rFonts w:ascii="Arial Narrow" w:hAnsi="Arial Narrow" w:cstheme="minorHAnsi"/>
        </w:rPr>
        <w:t xml:space="preserve"> stacionārā</w:t>
      </w:r>
      <w:r w:rsidR="009A3ECD" w:rsidRPr="00D25AB9">
        <w:rPr>
          <w:rFonts w:ascii="Arial Narrow" w:hAnsi="Arial Narrow" w:cstheme="minorHAnsi"/>
        </w:rPr>
        <w:t>, kas</w:t>
      </w:r>
      <w:r w:rsidR="003D4191" w:rsidRPr="00D25AB9">
        <w:rPr>
          <w:rFonts w:ascii="Arial Narrow" w:hAnsi="Arial Narrow" w:cstheme="minorHAnsi"/>
        </w:rPr>
        <w:t xml:space="preserve"> ņemot vērā pakalpojumu apmaksas specifiku,</w:t>
      </w:r>
      <w:r w:rsidR="009A3ECD" w:rsidRPr="00D25AB9">
        <w:rPr>
          <w:rFonts w:ascii="Arial Narrow" w:hAnsi="Arial Narrow" w:cstheme="minorHAnsi"/>
        </w:rPr>
        <w:t xml:space="preserve"> </w:t>
      </w:r>
      <w:r w:rsidR="0097345E">
        <w:rPr>
          <w:rFonts w:ascii="Arial Narrow" w:hAnsi="Arial Narrow" w:cstheme="minorHAnsi"/>
        </w:rPr>
        <w:t xml:space="preserve">daļēji </w:t>
      </w:r>
      <w:r w:rsidR="009A3ECD" w:rsidRPr="00D25AB9">
        <w:rPr>
          <w:rFonts w:ascii="Arial Narrow" w:hAnsi="Arial Narrow" w:cstheme="minorHAnsi"/>
        </w:rPr>
        <w:t xml:space="preserve">izlīdzināsies turpmākajos pārskata periodos. </w:t>
      </w:r>
      <w:r w:rsidR="00724896" w:rsidRPr="00D25AB9">
        <w:rPr>
          <w:rFonts w:ascii="Arial Narrow" w:hAnsi="Arial Narrow" w:cstheme="minorHAnsi"/>
        </w:rPr>
        <w:t xml:space="preserve">Ambulatoro pakalpojumu ieņēmumi  </w:t>
      </w:r>
      <w:r w:rsidRPr="00D25AB9">
        <w:rPr>
          <w:rFonts w:ascii="Arial Narrow" w:hAnsi="Arial Narrow" w:cstheme="minorHAnsi"/>
        </w:rPr>
        <w:t xml:space="preserve"> 202</w:t>
      </w:r>
      <w:r w:rsidR="00C4798F" w:rsidRPr="00D25AB9">
        <w:rPr>
          <w:rFonts w:ascii="Arial Narrow" w:hAnsi="Arial Narrow" w:cstheme="minorHAnsi"/>
        </w:rPr>
        <w:t>5</w:t>
      </w:r>
      <w:r w:rsidRPr="00D25AB9">
        <w:rPr>
          <w:rFonts w:ascii="Arial Narrow" w:hAnsi="Arial Narrow" w:cstheme="minorHAnsi"/>
        </w:rPr>
        <w:t>.gadā</w:t>
      </w:r>
      <w:r w:rsidR="0067558D" w:rsidRPr="00D25AB9">
        <w:rPr>
          <w:rFonts w:ascii="Arial Narrow" w:hAnsi="Arial Narrow" w:cstheme="minorHAnsi"/>
        </w:rPr>
        <w:t xml:space="preserve"> </w:t>
      </w:r>
      <w:r w:rsidR="00185D21" w:rsidRPr="00D25AB9">
        <w:rPr>
          <w:rFonts w:ascii="Arial Narrow" w:hAnsi="Arial Narrow" w:cstheme="minorHAnsi"/>
        </w:rPr>
        <w:t>sešos mēnešos</w:t>
      </w:r>
      <w:r w:rsidR="00724896" w:rsidRPr="00D25AB9">
        <w:rPr>
          <w:rFonts w:ascii="Arial Narrow" w:hAnsi="Arial Narrow" w:cstheme="minorHAnsi"/>
        </w:rPr>
        <w:t xml:space="preserve"> salīdzinot ar 2024.gadu </w:t>
      </w:r>
      <w:r w:rsidR="00185D21" w:rsidRPr="00D25AB9">
        <w:rPr>
          <w:rFonts w:ascii="Arial Narrow" w:hAnsi="Arial Narrow" w:cstheme="minorHAnsi"/>
        </w:rPr>
        <w:t>sešiem mēnešiem</w:t>
      </w:r>
      <w:r w:rsidR="00724896" w:rsidRPr="00D25AB9">
        <w:rPr>
          <w:rFonts w:ascii="Arial Narrow" w:hAnsi="Arial Narrow" w:cstheme="minorHAnsi"/>
        </w:rPr>
        <w:t xml:space="preserve"> </w:t>
      </w:r>
      <w:r w:rsidRPr="00D25AB9">
        <w:rPr>
          <w:rFonts w:ascii="Arial Narrow" w:hAnsi="Arial Narrow" w:cstheme="minorHAnsi"/>
        </w:rPr>
        <w:t xml:space="preserve">ir </w:t>
      </w:r>
      <w:r w:rsidR="00724896" w:rsidRPr="00D25AB9">
        <w:rPr>
          <w:rFonts w:ascii="Arial Narrow" w:hAnsi="Arial Narrow" w:cstheme="minorHAnsi"/>
        </w:rPr>
        <w:t xml:space="preserve">pieauguši par </w:t>
      </w:r>
      <w:r w:rsidR="00185D21" w:rsidRPr="00D25AB9">
        <w:rPr>
          <w:rFonts w:ascii="Arial Narrow" w:hAnsi="Arial Narrow" w:cstheme="minorHAnsi"/>
        </w:rPr>
        <w:t>2,85</w:t>
      </w:r>
      <w:r w:rsidR="00724896" w:rsidRPr="00D25AB9">
        <w:rPr>
          <w:rFonts w:ascii="Arial Narrow" w:hAnsi="Arial Narrow" w:cstheme="minorHAnsi"/>
        </w:rPr>
        <w:t xml:space="preserve">%. Citi saimnieciskās darbības ieņēmumus veido telpu nomas un komunālo pakalpojumu sniegšana, kas 2025.gada </w:t>
      </w:r>
      <w:r w:rsidR="00185D21" w:rsidRPr="00D25AB9">
        <w:rPr>
          <w:rFonts w:ascii="Arial Narrow" w:hAnsi="Arial Narrow" w:cstheme="minorHAnsi"/>
        </w:rPr>
        <w:t xml:space="preserve">6 </w:t>
      </w:r>
      <w:proofErr w:type="spellStart"/>
      <w:r w:rsidR="00185D21" w:rsidRPr="00D25AB9">
        <w:rPr>
          <w:rFonts w:ascii="Arial Narrow" w:hAnsi="Arial Narrow" w:cstheme="minorHAnsi"/>
        </w:rPr>
        <w:t>mēn</w:t>
      </w:r>
      <w:proofErr w:type="spellEnd"/>
      <w:r w:rsidR="00185D21" w:rsidRPr="00D25AB9">
        <w:rPr>
          <w:rFonts w:ascii="Arial Narrow" w:hAnsi="Arial Narrow" w:cstheme="minorHAnsi"/>
        </w:rPr>
        <w:t>.</w:t>
      </w:r>
      <w:r w:rsidR="00724896" w:rsidRPr="00D25AB9">
        <w:rPr>
          <w:rFonts w:ascii="Arial Narrow" w:hAnsi="Arial Narrow" w:cstheme="minorHAnsi"/>
        </w:rPr>
        <w:t xml:space="preserve"> ir  samazināju</w:t>
      </w:r>
      <w:r w:rsidR="003D4191" w:rsidRPr="00D25AB9">
        <w:rPr>
          <w:rFonts w:ascii="Arial Narrow" w:hAnsi="Arial Narrow" w:cstheme="minorHAnsi"/>
        </w:rPr>
        <w:t>s</w:t>
      </w:r>
      <w:r w:rsidR="00724896" w:rsidRPr="00D25AB9">
        <w:rPr>
          <w:rFonts w:ascii="Arial Narrow" w:hAnsi="Arial Narrow" w:cstheme="minorHAnsi"/>
        </w:rPr>
        <w:t xml:space="preserve">ies, jo Slimnīca </w:t>
      </w:r>
      <w:r w:rsidR="009A3ECD" w:rsidRPr="00D25AB9">
        <w:rPr>
          <w:rFonts w:ascii="Arial Narrow" w:hAnsi="Arial Narrow" w:cstheme="minorHAnsi"/>
        </w:rPr>
        <w:t>uzsāka sniegt</w:t>
      </w:r>
      <w:r w:rsidR="00724896" w:rsidRPr="00D25AB9">
        <w:rPr>
          <w:rFonts w:ascii="Arial Narrow" w:hAnsi="Arial Narrow" w:cstheme="minorHAnsi"/>
        </w:rPr>
        <w:t xml:space="preserve"> narkoloģijas </w:t>
      </w:r>
      <w:r w:rsidR="009A3ECD" w:rsidRPr="00D25AB9">
        <w:rPr>
          <w:rFonts w:ascii="Arial Narrow" w:hAnsi="Arial Narrow" w:cstheme="minorHAnsi"/>
        </w:rPr>
        <w:t xml:space="preserve">profila </w:t>
      </w:r>
      <w:r w:rsidR="00724896" w:rsidRPr="00D25AB9">
        <w:rPr>
          <w:rFonts w:ascii="Arial Narrow" w:hAnsi="Arial Narrow" w:cstheme="minorHAnsi"/>
        </w:rPr>
        <w:t>pakalpojumu</w:t>
      </w:r>
      <w:r w:rsidR="009A3ECD" w:rsidRPr="00D25AB9">
        <w:rPr>
          <w:rFonts w:ascii="Arial Narrow" w:hAnsi="Arial Narrow" w:cstheme="minorHAnsi"/>
        </w:rPr>
        <w:t>s, savukārt</w:t>
      </w:r>
      <w:r w:rsidR="00724896" w:rsidRPr="00D25AB9">
        <w:rPr>
          <w:rFonts w:ascii="Arial Narrow" w:hAnsi="Arial Narrow" w:cstheme="minorHAnsi"/>
        </w:rPr>
        <w:t xml:space="preserve"> Liepājas Reģionālās slimnīcas</w:t>
      </w:r>
      <w:r w:rsidR="009A3ECD" w:rsidRPr="00D25AB9">
        <w:rPr>
          <w:rFonts w:ascii="Arial Narrow" w:hAnsi="Arial Narrow" w:cstheme="minorHAnsi"/>
        </w:rPr>
        <w:t xml:space="preserve"> pārtrauca sniegt pakalpojumus Slimnīcas telpās, rezultātā pārtraucot arī telpu nomas līgumu</w:t>
      </w:r>
      <w:r w:rsidR="00724896" w:rsidRPr="00D25AB9">
        <w:rPr>
          <w:rFonts w:ascii="Arial Narrow" w:hAnsi="Arial Narrow" w:cstheme="minorHAnsi"/>
        </w:rPr>
        <w:t xml:space="preserve">.  </w:t>
      </w:r>
    </w:p>
    <w:p w14:paraId="3B4459A3" w14:textId="4E270DBC" w:rsidR="00C912BF" w:rsidRPr="00D25AB9" w:rsidRDefault="00C912BF" w:rsidP="00131E43">
      <w:pPr>
        <w:rPr>
          <w:rFonts w:ascii="Arial Narrow" w:hAnsi="Arial Narrow" w:cstheme="minorHAnsi"/>
        </w:rPr>
      </w:pPr>
      <w:r w:rsidRPr="00D25AB9">
        <w:rPr>
          <w:rFonts w:ascii="Arial Narrow" w:hAnsi="Arial Narrow" w:cstheme="minorHAnsi"/>
        </w:rPr>
        <w:t xml:space="preserve">Izdevumu sadalījums </w:t>
      </w:r>
      <w:r w:rsidR="00C4798F" w:rsidRPr="00D25AB9">
        <w:rPr>
          <w:rFonts w:ascii="Arial Narrow" w:hAnsi="Arial Narrow" w:cstheme="minorHAnsi"/>
        </w:rPr>
        <w:t xml:space="preserve">2025. gada </w:t>
      </w:r>
      <w:r w:rsidR="00185D21" w:rsidRPr="00D25AB9">
        <w:rPr>
          <w:rFonts w:ascii="Arial Narrow" w:hAnsi="Arial Narrow" w:cstheme="minorHAnsi"/>
        </w:rPr>
        <w:t>6</w:t>
      </w:r>
      <w:r w:rsidR="00C4798F" w:rsidRPr="00D25AB9">
        <w:rPr>
          <w:rFonts w:ascii="Arial Narrow" w:hAnsi="Arial Narrow" w:cstheme="minorHAnsi"/>
        </w:rPr>
        <w:t>. mēnešiem</w:t>
      </w:r>
      <w:r w:rsidR="00A734D4" w:rsidRPr="00D25AB9">
        <w:rPr>
          <w:rFonts w:ascii="Arial Narrow" w:hAnsi="Arial Narrow" w:cstheme="minorHAnsi"/>
        </w:rPr>
        <w:t>:</w:t>
      </w:r>
    </w:p>
    <w:tbl>
      <w:tblPr>
        <w:tblStyle w:val="GridTable1Light-Accent2"/>
        <w:tblW w:w="9562" w:type="dxa"/>
        <w:tblLook w:val="04A0" w:firstRow="1" w:lastRow="0" w:firstColumn="1" w:lastColumn="0" w:noHBand="0" w:noVBand="1"/>
      </w:tblPr>
      <w:tblGrid>
        <w:gridCol w:w="2258"/>
        <w:gridCol w:w="1140"/>
        <w:gridCol w:w="1140"/>
        <w:gridCol w:w="1140"/>
        <w:gridCol w:w="940"/>
        <w:gridCol w:w="988"/>
        <w:gridCol w:w="993"/>
        <w:gridCol w:w="963"/>
      </w:tblGrid>
      <w:tr w:rsidR="00196CF3" w:rsidRPr="00D25AB9" w14:paraId="271B4983" w14:textId="77777777" w:rsidTr="00264BF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58" w:type="dxa"/>
            <w:vMerge w:val="restart"/>
            <w:hideMark/>
          </w:tcPr>
          <w:p w14:paraId="2AA471A3" w14:textId="77777777" w:rsidR="00196CF3" w:rsidRPr="00D25AB9" w:rsidRDefault="00196CF3" w:rsidP="00196CF3">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lastRenderedPageBreak/>
              <w:t>Nosaukums/ Mērvienība</w:t>
            </w:r>
          </w:p>
        </w:tc>
        <w:tc>
          <w:tcPr>
            <w:tcW w:w="1140" w:type="dxa"/>
            <w:vMerge w:val="restart"/>
            <w:hideMark/>
          </w:tcPr>
          <w:p w14:paraId="01A84D64" w14:textId="74EB8A34" w:rsidR="00196CF3" w:rsidRPr="00D25AB9" w:rsidRDefault="00196CF3" w:rsidP="00185D21">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 xml:space="preserve">Izpilde 2024. gada </w:t>
            </w:r>
            <w:r w:rsidR="00185D21" w:rsidRPr="00D25AB9">
              <w:rPr>
                <w:rFonts w:ascii="Arial Narrow" w:eastAsia="Times New Roman" w:hAnsi="Arial Narrow" w:cstheme="minorHAnsi"/>
                <w:sz w:val="22"/>
                <w:szCs w:val="22"/>
                <w:lang w:eastAsia="lv-LV"/>
              </w:rPr>
              <w:t>6</w:t>
            </w:r>
            <w:r w:rsidRPr="00D25AB9">
              <w:rPr>
                <w:rFonts w:ascii="Arial Narrow" w:eastAsia="Times New Roman" w:hAnsi="Arial Narrow" w:cstheme="minorHAnsi"/>
                <w:sz w:val="22"/>
                <w:szCs w:val="22"/>
                <w:lang w:eastAsia="lv-LV"/>
              </w:rPr>
              <w:t xml:space="preserve"> </w:t>
            </w:r>
            <w:proofErr w:type="spellStart"/>
            <w:r w:rsidRPr="00D25AB9">
              <w:rPr>
                <w:rFonts w:ascii="Arial Narrow" w:eastAsia="Times New Roman" w:hAnsi="Arial Narrow" w:cstheme="minorHAnsi"/>
                <w:sz w:val="22"/>
                <w:szCs w:val="22"/>
                <w:lang w:eastAsia="lv-LV"/>
              </w:rPr>
              <w:t>mēn</w:t>
            </w:r>
            <w:proofErr w:type="spellEnd"/>
            <w:r w:rsidRPr="00D25AB9">
              <w:rPr>
                <w:rFonts w:ascii="Arial Narrow" w:eastAsia="Times New Roman" w:hAnsi="Arial Narrow" w:cstheme="minorHAnsi"/>
                <w:sz w:val="22"/>
                <w:szCs w:val="22"/>
                <w:lang w:eastAsia="lv-LV"/>
              </w:rPr>
              <w:t>.</w:t>
            </w:r>
          </w:p>
        </w:tc>
        <w:tc>
          <w:tcPr>
            <w:tcW w:w="1140" w:type="dxa"/>
            <w:vMerge w:val="restart"/>
            <w:hideMark/>
          </w:tcPr>
          <w:p w14:paraId="30AD9A45" w14:textId="2BE58DAF" w:rsidR="00196CF3" w:rsidRPr="00D25AB9" w:rsidRDefault="00196CF3" w:rsidP="00185D21">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 xml:space="preserve">Plāns 2025. gada </w:t>
            </w:r>
            <w:r w:rsidR="00185D21" w:rsidRPr="00D25AB9">
              <w:rPr>
                <w:rFonts w:ascii="Arial Narrow" w:eastAsia="Times New Roman" w:hAnsi="Arial Narrow" w:cstheme="minorHAnsi"/>
                <w:sz w:val="22"/>
                <w:szCs w:val="22"/>
                <w:lang w:eastAsia="lv-LV"/>
              </w:rPr>
              <w:t>6</w:t>
            </w:r>
            <w:r w:rsidRPr="00D25AB9">
              <w:rPr>
                <w:rFonts w:ascii="Arial Narrow" w:eastAsia="Times New Roman" w:hAnsi="Arial Narrow" w:cstheme="minorHAnsi"/>
                <w:sz w:val="22"/>
                <w:szCs w:val="22"/>
                <w:lang w:eastAsia="lv-LV"/>
              </w:rPr>
              <w:t xml:space="preserve"> </w:t>
            </w:r>
            <w:proofErr w:type="spellStart"/>
            <w:r w:rsidRPr="00D25AB9">
              <w:rPr>
                <w:rFonts w:ascii="Arial Narrow" w:eastAsia="Times New Roman" w:hAnsi="Arial Narrow" w:cstheme="minorHAnsi"/>
                <w:sz w:val="22"/>
                <w:szCs w:val="22"/>
                <w:lang w:eastAsia="lv-LV"/>
              </w:rPr>
              <w:t>mēn</w:t>
            </w:r>
            <w:proofErr w:type="spellEnd"/>
            <w:r w:rsidRPr="00D25AB9">
              <w:rPr>
                <w:rFonts w:ascii="Arial Narrow" w:eastAsia="Times New Roman" w:hAnsi="Arial Narrow" w:cstheme="minorHAnsi"/>
                <w:sz w:val="22"/>
                <w:szCs w:val="22"/>
                <w:lang w:eastAsia="lv-LV"/>
              </w:rPr>
              <w:t>.</w:t>
            </w:r>
          </w:p>
        </w:tc>
        <w:tc>
          <w:tcPr>
            <w:tcW w:w="1140" w:type="dxa"/>
            <w:vMerge w:val="restart"/>
            <w:hideMark/>
          </w:tcPr>
          <w:p w14:paraId="0F04119A" w14:textId="635F2AC3" w:rsidR="00196CF3" w:rsidRPr="00D25AB9" w:rsidRDefault="00196CF3" w:rsidP="00185D21">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 xml:space="preserve">Izpilde 2025. gada </w:t>
            </w:r>
            <w:r w:rsidR="00185D21" w:rsidRPr="00D25AB9">
              <w:rPr>
                <w:rFonts w:ascii="Arial Narrow" w:eastAsia="Times New Roman" w:hAnsi="Arial Narrow" w:cstheme="minorHAnsi"/>
                <w:sz w:val="22"/>
                <w:szCs w:val="22"/>
                <w:lang w:eastAsia="lv-LV"/>
              </w:rPr>
              <w:t>6</w:t>
            </w:r>
            <w:r w:rsidRPr="00D25AB9">
              <w:rPr>
                <w:rFonts w:ascii="Arial Narrow" w:eastAsia="Times New Roman" w:hAnsi="Arial Narrow" w:cstheme="minorHAnsi"/>
                <w:sz w:val="22"/>
                <w:szCs w:val="22"/>
                <w:lang w:eastAsia="lv-LV"/>
              </w:rPr>
              <w:t xml:space="preserve"> </w:t>
            </w:r>
            <w:proofErr w:type="spellStart"/>
            <w:r w:rsidRPr="00D25AB9">
              <w:rPr>
                <w:rFonts w:ascii="Arial Narrow" w:eastAsia="Times New Roman" w:hAnsi="Arial Narrow" w:cstheme="minorHAnsi"/>
                <w:sz w:val="22"/>
                <w:szCs w:val="22"/>
                <w:lang w:eastAsia="lv-LV"/>
              </w:rPr>
              <w:t>mēn</w:t>
            </w:r>
            <w:proofErr w:type="spellEnd"/>
            <w:r w:rsidRPr="00D25AB9">
              <w:rPr>
                <w:rFonts w:ascii="Arial Narrow" w:eastAsia="Times New Roman" w:hAnsi="Arial Narrow" w:cstheme="minorHAnsi"/>
                <w:sz w:val="22"/>
                <w:szCs w:val="22"/>
                <w:lang w:eastAsia="lv-LV"/>
              </w:rPr>
              <w:t>.</w:t>
            </w:r>
          </w:p>
        </w:tc>
        <w:tc>
          <w:tcPr>
            <w:tcW w:w="1928" w:type="dxa"/>
            <w:gridSpan w:val="2"/>
            <w:hideMark/>
          </w:tcPr>
          <w:p w14:paraId="2A23F955" w14:textId="59929DD1" w:rsidR="00196CF3" w:rsidRPr="00D25AB9" w:rsidRDefault="00196CF3" w:rsidP="00185D21">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 xml:space="preserve">Novirze pret 2024.gada </w:t>
            </w:r>
            <w:r w:rsidR="00185D21" w:rsidRPr="00D25AB9">
              <w:rPr>
                <w:rFonts w:ascii="Arial Narrow" w:eastAsia="Times New Roman" w:hAnsi="Arial Narrow" w:cstheme="minorHAnsi"/>
                <w:sz w:val="22"/>
                <w:szCs w:val="22"/>
                <w:lang w:eastAsia="lv-LV"/>
              </w:rPr>
              <w:t>6</w:t>
            </w:r>
            <w:r w:rsidRPr="00D25AB9">
              <w:rPr>
                <w:rFonts w:ascii="Arial Narrow" w:eastAsia="Times New Roman" w:hAnsi="Arial Narrow" w:cstheme="minorHAnsi"/>
                <w:sz w:val="22"/>
                <w:szCs w:val="22"/>
                <w:lang w:eastAsia="lv-LV"/>
              </w:rPr>
              <w:t xml:space="preserve"> </w:t>
            </w:r>
            <w:proofErr w:type="spellStart"/>
            <w:r w:rsidRPr="00D25AB9">
              <w:rPr>
                <w:rFonts w:ascii="Arial Narrow" w:eastAsia="Times New Roman" w:hAnsi="Arial Narrow" w:cstheme="minorHAnsi"/>
                <w:sz w:val="22"/>
                <w:szCs w:val="22"/>
                <w:lang w:eastAsia="lv-LV"/>
              </w:rPr>
              <w:t>mēn</w:t>
            </w:r>
            <w:proofErr w:type="spellEnd"/>
            <w:r w:rsidRPr="00D25AB9">
              <w:rPr>
                <w:rFonts w:ascii="Arial Narrow" w:eastAsia="Times New Roman" w:hAnsi="Arial Narrow" w:cstheme="minorHAnsi"/>
                <w:sz w:val="22"/>
                <w:szCs w:val="22"/>
                <w:lang w:eastAsia="lv-LV"/>
              </w:rPr>
              <w:t>.</w:t>
            </w:r>
          </w:p>
        </w:tc>
        <w:tc>
          <w:tcPr>
            <w:tcW w:w="1956" w:type="dxa"/>
            <w:gridSpan w:val="2"/>
            <w:hideMark/>
          </w:tcPr>
          <w:p w14:paraId="4120EC70" w14:textId="3EDD2685" w:rsidR="00196CF3" w:rsidRPr="00D25AB9" w:rsidRDefault="00196CF3" w:rsidP="00185D21">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 xml:space="preserve">Novirze pret 2025.gada </w:t>
            </w:r>
            <w:r w:rsidR="00185D21" w:rsidRPr="00D25AB9">
              <w:rPr>
                <w:rFonts w:ascii="Arial Narrow" w:eastAsia="Times New Roman" w:hAnsi="Arial Narrow" w:cstheme="minorHAnsi"/>
                <w:sz w:val="22"/>
                <w:szCs w:val="22"/>
                <w:lang w:eastAsia="lv-LV"/>
              </w:rPr>
              <w:t>6</w:t>
            </w:r>
            <w:r w:rsidRPr="00D25AB9">
              <w:rPr>
                <w:rFonts w:ascii="Arial Narrow" w:eastAsia="Times New Roman" w:hAnsi="Arial Narrow" w:cstheme="minorHAnsi"/>
                <w:sz w:val="22"/>
                <w:szCs w:val="22"/>
                <w:lang w:eastAsia="lv-LV"/>
              </w:rPr>
              <w:t xml:space="preserve"> </w:t>
            </w:r>
            <w:proofErr w:type="spellStart"/>
            <w:r w:rsidRPr="00D25AB9">
              <w:rPr>
                <w:rFonts w:ascii="Arial Narrow" w:eastAsia="Times New Roman" w:hAnsi="Arial Narrow" w:cstheme="minorHAnsi"/>
                <w:sz w:val="22"/>
                <w:szCs w:val="22"/>
                <w:lang w:eastAsia="lv-LV"/>
              </w:rPr>
              <w:t>mēn</w:t>
            </w:r>
            <w:proofErr w:type="spellEnd"/>
            <w:r w:rsidRPr="00D25AB9">
              <w:rPr>
                <w:rFonts w:ascii="Arial Narrow" w:eastAsia="Times New Roman" w:hAnsi="Arial Narrow" w:cstheme="minorHAnsi"/>
                <w:sz w:val="22"/>
                <w:szCs w:val="22"/>
                <w:lang w:eastAsia="lv-LV"/>
              </w:rPr>
              <w:t>. plānu</w:t>
            </w:r>
          </w:p>
        </w:tc>
      </w:tr>
      <w:tr w:rsidR="00101BE7" w:rsidRPr="00D25AB9" w14:paraId="0C818C25" w14:textId="77777777" w:rsidTr="00264BFB">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258" w:type="dxa"/>
            <w:vMerge/>
            <w:hideMark/>
          </w:tcPr>
          <w:p w14:paraId="5CDFE707" w14:textId="77777777" w:rsidR="001E272F" w:rsidRPr="00D25AB9" w:rsidRDefault="001E272F" w:rsidP="001E272F">
            <w:pPr>
              <w:spacing w:before="0"/>
              <w:jc w:val="left"/>
              <w:rPr>
                <w:rFonts w:ascii="Arial Narrow" w:eastAsia="Times New Roman" w:hAnsi="Arial Narrow" w:cstheme="minorHAnsi"/>
                <w:b w:val="0"/>
                <w:bCs w:val="0"/>
                <w:sz w:val="22"/>
                <w:szCs w:val="22"/>
                <w:lang w:eastAsia="lv-LV"/>
              </w:rPr>
            </w:pPr>
          </w:p>
        </w:tc>
        <w:tc>
          <w:tcPr>
            <w:tcW w:w="1140" w:type="dxa"/>
            <w:vMerge/>
            <w:hideMark/>
          </w:tcPr>
          <w:p w14:paraId="14AED97A" w14:textId="77777777" w:rsidR="001E272F" w:rsidRPr="00D25AB9" w:rsidRDefault="001E272F" w:rsidP="001E272F">
            <w:pPr>
              <w:spacing w:before="0"/>
              <w:jc w:val="lef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p>
        </w:tc>
        <w:tc>
          <w:tcPr>
            <w:tcW w:w="1140" w:type="dxa"/>
            <w:vMerge/>
            <w:hideMark/>
          </w:tcPr>
          <w:p w14:paraId="12D9E04F" w14:textId="77777777" w:rsidR="001E272F" w:rsidRPr="00D25AB9" w:rsidRDefault="001E272F" w:rsidP="001E272F">
            <w:pPr>
              <w:spacing w:before="0"/>
              <w:jc w:val="lef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p>
        </w:tc>
        <w:tc>
          <w:tcPr>
            <w:tcW w:w="1140" w:type="dxa"/>
            <w:vMerge/>
            <w:hideMark/>
          </w:tcPr>
          <w:p w14:paraId="4B7EF903" w14:textId="77777777" w:rsidR="001E272F" w:rsidRPr="00D25AB9" w:rsidRDefault="001E272F" w:rsidP="001E272F">
            <w:pPr>
              <w:spacing w:before="0"/>
              <w:jc w:val="lef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p>
        </w:tc>
        <w:tc>
          <w:tcPr>
            <w:tcW w:w="940" w:type="dxa"/>
            <w:hideMark/>
          </w:tcPr>
          <w:p w14:paraId="6123B869" w14:textId="77777777" w:rsidR="001E272F" w:rsidRPr="00D25AB9" w:rsidRDefault="001E272F" w:rsidP="001E272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EUR</w:t>
            </w:r>
          </w:p>
        </w:tc>
        <w:tc>
          <w:tcPr>
            <w:tcW w:w="988" w:type="dxa"/>
            <w:hideMark/>
          </w:tcPr>
          <w:p w14:paraId="3266898F" w14:textId="77777777" w:rsidR="001E272F" w:rsidRPr="00D25AB9" w:rsidRDefault="001E272F" w:rsidP="001E272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w:t>
            </w:r>
          </w:p>
        </w:tc>
        <w:tc>
          <w:tcPr>
            <w:tcW w:w="993" w:type="dxa"/>
            <w:hideMark/>
          </w:tcPr>
          <w:p w14:paraId="22B7FEA1" w14:textId="77777777" w:rsidR="001E272F" w:rsidRPr="00D25AB9" w:rsidRDefault="001E272F" w:rsidP="001E272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EUR</w:t>
            </w:r>
          </w:p>
        </w:tc>
        <w:tc>
          <w:tcPr>
            <w:tcW w:w="963" w:type="dxa"/>
            <w:hideMark/>
          </w:tcPr>
          <w:p w14:paraId="07B02B80" w14:textId="77777777" w:rsidR="001E272F" w:rsidRPr="00D25AB9" w:rsidRDefault="001E272F" w:rsidP="001E272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w:t>
            </w:r>
          </w:p>
        </w:tc>
      </w:tr>
      <w:tr w:rsidR="00185D21" w:rsidRPr="00D25AB9" w14:paraId="7D1DA173" w14:textId="77777777" w:rsidTr="00185D21">
        <w:trPr>
          <w:trHeight w:val="615"/>
        </w:trPr>
        <w:tc>
          <w:tcPr>
            <w:cnfStyle w:val="001000000000" w:firstRow="0" w:lastRow="0" w:firstColumn="1" w:lastColumn="0" w:oddVBand="0" w:evenVBand="0" w:oddHBand="0" w:evenHBand="0" w:firstRowFirstColumn="0" w:firstRowLastColumn="0" w:lastRowFirstColumn="0" w:lastRowLastColumn="0"/>
            <w:tcW w:w="2258" w:type="dxa"/>
            <w:vAlign w:val="center"/>
            <w:hideMark/>
          </w:tcPr>
          <w:p w14:paraId="60EA1539" w14:textId="13CF4B4C" w:rsidR="00185D21" w:rsidRPr="00D25AB9" w:rsidRDefault="00185D21" w:rsidP="00185D21">
            <w:pPr>
              <w:spacing w:before="0"/>
              <w:jc w:val="left"/>
              <w:rPr>
                <w:rFonts w:ascii="Arial Narrow" w:eastAsia="Times New Roman" w:hAnsi="Arial Narrow" w:cstheme="minorHAnsi"/>
                <w:b w:val="0"/>
                <w:lang w:eastAsia="lv-LV"/>
              </w:rPr>
            </w:pPr>
            <w:r w:rsidRPr="00D25AB9">
              <w:rPr>
                <w:rFonts w:ascii="Arial Narrow" w:hAnsi="Arial Narrow" w:cs="Calibri Light"/>
                <w:b w:val="0"/>
              </w:rPr>
              <w:t>Izdevumi atalgojumam par darbu</w:t>
            </w:r>
          </w:p>
        </w:tc>
        <w:tc>
          <w:tcPr>
            <w:tcW w:w="1140" w:type="dxa"/>
            <w:noWrap/>
            <w:vAlign w:val="center"/>
            <w:hideMark/>
          </w:tcPr>
          <w:p w14:paraId="0F3D04E0" w14:textId="1252E791"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1 747 341</w:t>
            </w:r>
          </w:p>
        </w:tc>
        <w:tc>
          <w:tcPr>
            <w:tcW w:w="1140" w:type="dxa"/>
            <w:noWrap/>
            <w:vAlign w:val="center"/>
            <w:hideMark/>
          </w:tcPr>
          <w:p w14:paraId="32F0BEB2" w14:textId="02CD4761"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1 963 643</w:t>
            </w:r>
          </w:p>
        </w:tc>
        <w:tc>
          <w:tcPr>
            <w:tcW w:w="1140" w:type="dxa"/>
            <w:noWrap/>
            <w:vAlign w:val="center"/>
            <w:hideMark/>
          </w:tcPr>
          <w:p w14:paraId="58D08AC7" w14:textId="38FFC3FB"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1 976 589</w:t>
            </w:r>
          </w:p>
        </w:tc>
        <w:tc>
          <w:tcPr>
            <w:tcW w:w="940" w:type="dxa"/>
            <w:noWrap/>
            <w:vAlign w:val="center"/>
            <w:hideMark/>
          </w:tcPr>
          <w:p w14:paraId="5368E582" w14:textId="0C805A96"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229 248</w:t>
            </w:r>
          </w:p>
        </w:tc>
        <w:tc>
          <w:tcPr>
            <w:tcW w:w="988" w:type="dxa"/>
            <w:noWrap/>
            <w:vAlign w:val="center"/>
            <w:hideMark/>
          </w:tcPr>
          <w:p w14:paraId="7A3997AC" w14:textId="68C61FED"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13.12%</w:t>
            </w:r>
          </w:p>
        </w:tc>
        <w:tc>
          <w:tcPr>
            <w:tcW w:w="993" w:type="dxa"/>
            <w:noWrap/>
            <w:vAlign w:val="center"/>
            <w:hideMark/>
          </w:tcPr>
          <w:p w14:paraId="0E7C8D76" w14:textId="587F899E"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12 946</w:t>
            </w:r>
          </w:p>
        </w:tc>
        <w:tc>
          <w:tcPr>
            <w:tcW w:w="963" w:type="dxa"/>
            <w:noWrap/>
            <w:vAlign w:val="center"/>
            <w:hideMark/>
          </w:tcPr>
          <w:p w14:paraId="5B4B919A" w14:textId="41501371"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0.66%</w:t>
            </w:r>
          </w:p>
        </w:tc>
      </w:tr>
      <w:tr w:rsidR="00185D21" w:rsidRPr="00D25AB9" w14:paraId="7D810D7A" w14:textId="77777777" w:rsidTr="00185D21">
        <w:trPr>
          <w:trHeight w:val="615"/>
        </w:trPr>
        <w:tc>
          <w:tcPr>
            <w:cnfStyle w:val="001000000000" w:firstRow="0" w:lastRow="0" w:firstColumn="1" w:lastColumn="0" w:oddVBand="0" w:evenVBand="0" w:oddHBand="0" w:evenHBand="0" w:firstRowFirstColumn="0" w:firstRowLastColumn="0" w:lastRowFirstColumn="0" w:lastRowLastColumn="0"/>
            <w:tcW w:w="2258" w:type="dxa"/>
            <w:vAlign w:val="center"/>
            <w:hideMark/>
          </w:tcPr>
          <w:p w14:paraId="74C7B72E" w14:textId="721E0070" w:rsidR="00185D21" w:rsidRPr="00D25AB9" w:rsidRDefault="00185D21" w:rsidP="00185D21">
            <w:pPr>
              <w:spacing w:before="0"/>
              <w:jc w:val="left"/>
              <w:rPr>
                <w:rFonts w:ascii="Arial Narrow" w:eastAsia="Times New Roman" w:hAnsi="Arial Narrow" w:cstheme="minorHAnsi"/>
                <w:b w:val="0"/>
                <w:lang w:eastAsia="lv-LV"/>
              </w:rPr>
            </w:pPr>
            <w:r w:rsidRPr="00D25AB9">
              <w:rPr>
                <w:rFonts w:ascii="Arial Narrow" w:hAnsi="Arial Narrow" w:cs="Calibri Light"/>
                <w:b w:val="0"/>
              </w:rPr>
              <w:t>Darba devēja VSAOI, pabalsti un kompensācijas</w:t>
            </w:r>
          </w:p>
        </w:tc>
        <w:tc>
          <w:tcPr>
            <w:tcW w:w="1140" w:type="dxa"/>
            <w:noWrap/>
            <w:vAlign w:val="center"/>
            <w:hideMark/>
          </w:tcPr>
          <w:p w14:paraId="2CCB4A09" w14:textId="2097C0A5"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457 899</w:t>
            </w:r>
          </w:p>
        </w:tc>
        <w:tc>
          <w:tcPr>
            <w:tcW w:w="1140" w:type="dxa"/>
            <w:noWrap/>
            <w:vAlign w:val="center"/>
            <w:hideMark/>
          </w:tcPr>
          <w:p w14:paraId="0DE40B85" w14:textId="65E8D21E"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505 654</w:t>
            </w:r>
          </w:p>
        </w:tc>
        <w:tc>
          <w:tcPr>
            <w:tcW w:w="1140" w:type="dxa"/>
            <w:noWrap/>
            <w:vAlign w:val="center"/>
            <w:hideMark/>
          </w:tcPr>
          <w:p w14:paraId="009AB567" w14:textId="1D0308CB"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523 883</w:t>
            </w:r>
          </w:p>
        </w:tc>
        <w:tc>
          <w:tcPr>
            <w:tcW w:w="940" w:type="dxa"/>
            <w:noWrap/>
            <w:vAlign w:val="center"/>
            <w:hideMark/>
          </w:tcPr>
          <w:p w14:paraId="4A2DD9DA" w14:textId="5F99C53C"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65 984</w:t>
            </w:r>
          </w:p>
        </w:tc>
        <w:tc>
          <w:tcPr>
            <w:tcW w:w="988" w:type="dxa"/>
            <w:noWrap/>
            <w:vAlign w:val="center"/>
            <w:hideMark/>
          </w:tcPr>
          <w:p w14:paraId="5C0B6B31" w14:textId="44C89D3E"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14.41%</w:t>
            </w:r>
          </w:p>
        </w:tc>
        <w:tc>
          <w:tcPr>
            <w:tcW w:w="993" w:type="dxa"/>
            <w:noWrap/>
            <w:vAlign w:val="center"/>
            <w:hideMark/>
          </w:tcPr>
          <w:p w14:paraId="3D1C2ACA" w14:textId="7E348012"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18 229</w:t>
            </w:r>
          </w:p>
        </w:tc>
        <w:tc>
          <w:tcPr>
            <w:tcW w:w="963" w:type="dxa"/>
            <w:noWrap/>
            <w:vAlign w:val="center"/>
            <w:hideMark/>
          </w:tcPr>
          <w:p w14:paraId="7CA2681D" w14:textId="1E6EAFDC"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3.61%</w:t>
            </w:r>
          </w:p>
        </w:tc>
      </w:tr>
      <w:tr w:rsidR="00185D21" w:rsidRPr="00D25AB9" w14:paraId="2A566762" w14:textId="77777777" w:rsidTr="00185D21">
        <w:trPr>
          <w:trHeight w:val="615"/>
        </w:trPr>
        <w:tc>
          <w:tcPr>
            <w:cnfStyle w:val="001000000000" w:firstRow="0" w:lastRow="0" w:firstColumn="1" w:lastColumn="0" w:oddVBand="0" w:evenVBand="0" w:oddHBand="0" w:evenHBand="0" w:firstRowFirstColumn="0" w:firstRowLastColumn="0" w:lastRowFirstColumn="0" w:lastRowLastColumn="0"/>
            <w:tcW w:w="2258" w:type="dxa"/>
            <w:vAlign w:val="center"/>
            <w:hideMark/>
          </w:tcPr>
          <w:p w14:paraId="5AEF05B8" w14:textId="6FB0FAE7" w:rsidR="00185D21" w:rsidRPr="00D25AB9" w:rsidRDefault="00185D21" w:rsidP="00185D21">
            <w:pPr>
              <w:spacing w:before="0"/>
              <w:jc w:val="left"/>
              <w:rPr>
                <w:rFonts w:ascii="Arial Narrow" w:eastAsia="Times New Roman" w:hAnsi="Arial Narrow" w:cstheme="minorHAnsi"/>
                <w:b w:val="0"/>
                <w:lang w:eastAsia="lv-LV"/>
              </w:rPr>
            </w:pPr>
            <w:r w:rsidRPr="00D25AB9">
              <w:rPr>
                <w:rFonts w:ascii="Arial Narrow" w:hAnsi="Arial Narrow" w:cs="Calibri Light"/>
                <w:b w:val="0"/>
              </w:rPr>
              <w:t>Izdevumi par pakalpojumiem</w:t>
            </w:r>
          </w:p>
        </w:tc>
        <w:tc>
          <w:tcPr>
            <w:tcW w:w="1140" w:type="dxa"/>
            <w:noWrap/>
            <w:vAlign w:val="center"/>
            <w:hideMark/>
          </w:tcPr>
          <w:p w14:paraId="1EBB3C30" w14:textId="6E3B3CDD"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225 197</w:t>
            </w:r>
          </w:p>
        </w:tc>
        <w:tc>
          <w:tcPr>
            <w:tcW w:w="1140" w:type="dxa"/>
            <w:noWrap/>
            <w:vAlign w:val="center"/>
            <w:hideMark/>
          </w:tcPr>
          <w:p w14:paraId="1000B6D6" w14:textId="5E5F17F3"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264 216</w:t>
            </w:r>
          </w:p>
        </w:tc>
        <w:tc>
          <w:tcPr>
            <w:tcW w:w="1140" w:type="dxa"/>
            <w:noWrap/>
            <w:vAlign w:val="center"/>
            <w:hideMark/>
          </w:tcPr>
          <w:p w14:paraId="0672E877" w14:textId="44707404"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243 072</w:t>
            </w:r>
          </w:p>
        </w:tc>
        <w:tc>
          <w:tcPr>
            <w:tcW w:w="940" w:type="dxa"/>
            <w:noWrap/>
            <w:vAlign w:val="center"/>
            <w:hideMark/>
          </w:tcPr>
          <w:p w14:paraId="014CE3F8" w14:textId="3AB44420"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17 875</w:t>
            </w:r>
          </w:p>
        </w:tc>
        <w:tc>
          <w:tcPr>
            <w:tcW w:w="988" w:type="dxa"/>
            <w:noWrap/>
            <w:vAlign w:val="center"/>
            <w:hideMark/>
          </w:tcPr>
          <w:p w14:paraId="7DD24030" w14:textId="78E85A38"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7.94%</w:t>
            </w:r>
          </w:p>
        </w:tc>
        <w:tc>
          <w:tcPr>
            <w:tcW w:w="993" w:type="dxa"/>
            <w:noWrap/>
            <w:vAlign w:val="center"/>
            <w:hideMark/>
          </w:tcPr>
          <w:p w14:paraId="05F559E5" w14:textId="3B4705B6"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-21 144</w:t>
            </w:r>
          </w:p>
        </w:tc>
        <w:tc>
          <w:tcPr>
            <w:tcW w:w="963" w:type="dxa"/>
            <w:noWrap/>
            <w:vAlign w:val="center"/>
            <w:hideMark/>
          </w:tcPr>
          <w:p w14:paraId="308646C9" w14:textId="20B065BD"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-8.00%</w:t>
            </w:r>
          </w:p>
        </w:tc>
      </w:tr>
      <w:tr w:rsidR="00185D21" w:rsidRPr="00D25AB9" w14:paraId="773E0854" w14:textId="77777777" w:rsidTr="00185D21">
        <w:trPr>
          <w:trHeight w:val="315"/>
        </w:trPr>
        <w:tc>
          <w:tcPr>
            <w:cnfStyle w:val="001000000000" w:firstRow="0" w:lastRow="0" w:firstColumn="1" w:lastColumn="0" w:oddVBand="0" w:evenVBand="0" w:oddHBand="0" w:evenHBand="0" w:firstRowFirstColumn="0" w:firstRowLastColumn="0" w:lastRowFirstColumn="0" w:lastRowLastColumn="0"/>
            <w:tcW w:w="2258" w:type="dxa"/>
            <w:vAlign w:val="center"/>
            <w:hideMark/>
          </w:tcPr>
          <w:p w14:paraId="4FC8F6B0" w14:textId="54BEB3E8" w:rsidR="00185D21" w:rsidRPr="00D25AB9" w:rsidRDefault="00185D21" w:rsidP="00185D21">
            <w:pPr>
              <w:spacing w:before="0"/>
              <w:jc w:val="left"/>
              <w:rPr>
                <w:rFonts w:ascii="Arial Narrow" w:eastAsia="Times New Roman" w:hAnsi="Arial Narrow" w:cstheme="minorHAnsi"/>
                <w:b w:val="0"/>
                <w:lang w:eastAsia="lv-LV"/>
              </w:rPr>
            </w:pPr>
            <w:r w:rsidRPr="00D25AB9">
              <w:rPr>
                <w:rFonts w:ascii="Arial Narrow" w:hAnsi="Arial Narrow" w:cs="Calibri Light"/>
                <w:b w:val="0"/>
              </w:rPr>
              <w:t>Izdevumi par precēm</w:t>
            </w:r>
          </w:p>
        </w:tc>
        <w:tc>
          <w:tcPr>
            <w:tcW w:w="1140" w:type="dxa"/>
            <w:noWrap/>
            <w:vAlign w:val="center"/>
            <w:hideMark/>
          </w:tcPr>
          <w:p w14:paraId="6BACA0D7" w14:textId="6D268E45"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196 696</w:t>
            </w:r>
          </w:p>
        </w:tc>
        <w:tc>
          <w:tcPr>
            <w:tcW w:w="1140" w:type="dxa"/>
            <w:noWrap/>
            <w:vAlign w:val="center"/>
            <w:hideMark/>
          </w:tcPr>
          <w:p w14:paraId="58A34F51" w14:textId="014A5346"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276 269</w:t>
            </w:r>
          </w:p>
        </w:tc>
        <w:tc>
          <w:tcPr>
            <w:tcW w:w="1140" w:type="dxa"/>
            <w:noWrap/>
            <w:vAlign w:val="center"/>
            <w:hideMark/>
          </w:tcPr>
          <w:p w14:paraId="0C26AFF8" w14:textId="1B695D01"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240 230</w:t>
            </w:r>
          </w:p>
        </w:tc>
        <w:tc>
          <w:tcPr>
            <w:tcW w:w="940" w:type="dxa"/>
            <w:noWrap/>
            <w:vAlign w:val="center"/>
            <w:hideMark/>
          </w:tcPr>
          <w:p w14:paraId="433972E4" w14:textId="0A3D061A"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43 534</w:t>
            </w:r>
          </w:p>
        </w:tc>
        <w:tc>
          <w:tcPr>
            <w:tcW w:w="988" w:type="dxa"/>
            <w:noWrap/>
            <w:vAlign w:val="center"/>
            <w:hideMark/>
          </w:tcPr>
          <w:p w14:paraId="0DF97EB5" w14:textId="76A51E69"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22.13%</w:t>
            </w:r>
          </w:p>
        </w:tc>
        <w:tc>
          <w:tcPr>
            <w:tcW w:w="993" w:type="dxa"/>
            <w:noWrap/>
            <w:vAlign w:val="center"/>
            <w:hideMark/>
          </w:tcPr>
          <w:p w14:paraId="377E8C1E" w14:textId="2706BBA2"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-36 039</w:t>
            </w:r>
          </w:p>
        </w:tc>
        <w:tc>
          <w:tcPr>
            <w:tcW w:w="963" w:type="dxa"/>
            <w:noWrap/>
            <w:vAlign w:val="center"/>
            <w:hideMark/>
          </w:tcPr>
          <w:p w14:paraId="0CD234BE" w14:textId="18F00B2D"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-13.04%</w:t>
            </w:r>
          </w:p>
        </w:tc>
      </w:tr>
      <w:tr w:rsidR="00185D21" w:rsidRPr="00D25AB9" w14:paraId="5D320047" w14:textId="77777777" w:rsidTr="00185D21">
        <w:trPr>
          <w:trHeight w:val="615"/>
        </w:trPr>
        <w:tc>
          <w:tcPr>
            <w:cnfStyle w:val="001000000000" w:firstRow="0" w:lastRow="0" w:firstColumn="1" w:lastColumn="0" w:oddVBand="0" w:evenVBand="0" w:oddHBand="0" w:evenHBand="0" w:firstRowFirstColumn="0" w:firstRowLastColumn="0" w:lastRowFirstColumn="0" w:lastRowLastColumn="0"/>
            <w:tcW w:w="2258" w:type="dxa"/>
            <w:vAlign w:val="center"/>
            <w:hideMark/>
          </w:tcPr>
          <w:p w14:paraId="21D27E45" w14:textId="59D5CF91" w:rsidR="00185D21" w:rsidRPr="00D25AB9" w:rsidRDefault="00185D21" w:rsidP="00185D21">
            <w:pPr>
              <w:spacing w:before="0"/>
              <w:jc w:val="left"/>
              <w:rPr>
                <w:rFonts w:ascii="Arial Narrow" w:eastAsia="Times New Roman" w:hAnsi="Arial Narrow" w:cstheme="minorHAnsi"/>
                <w:b w:val="0"/>
                <w:lang w:eastAsia="lv-LV"/>
              </w:rPr>
            </w:pPr>
            <w:r w:rsidRPr="00D25AB9">
              <w:rPr>
                <w:rFonts w:ascii="Arial Narrow" w:hAnsi="Arial Narrow" w:cs="Calibri Light"/>
                <w:b w:val="0"/>
              </w:rPr>
              <w:t>Pārējie saimnieciskās darbības izdevumi</w:t>
            </w:r>
          </w:p>
        </w:tc>
        <w:tc>
          <w:tcPr>
            <w:tcW w:w="1140" w:type="dxa"/>
            <w:noWrap/>
            <w:vAlign w:val="center"/>
            <w:hideMark/>
          </w:tcPr>
          <w:p w14:paraId="2342EB5E" w14:textId="6F2C6429"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152 220</w:t>
            </w:r>
          </w:p>
        </w:tc>
        <w:tc>
          <w:tcPr>
            <w:tcW w:w="1140" w:type="dxa"/>
            <w:noWrap/>
            <w:vAlign w:val="center"/>
            <w:hideMark/>
          </w:tcPr>
          <w:p w14:paraId="594C47DE" w14:textId="7459C404"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155 472</w:t>
            </w:r>
          </w:p>
        </w:tc>
        <w:tc>
          <w:tcPr>
            <w:tcW w:w="1140" w:type="dxa"/>
            <w:noWrap/>
            <w:vAlign w:val="center"/>
            <w:hideMark/>
          </w:tcPr>
          <w:p w14:paraId="5E6DFDDE" w14:textId="4E0FEDD1"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156 459</w:t>
            </w:r>
          </w:p>
        </w:tc>
        <w:tc>
          <w:tcPr>
            <w:tcW w:w="940" w:type="dxa"/>
            <w:noWrap/>
            <w:vAlign w:val="center"/>
            <w:hideMark/>
          </w:tcPr>
          <w:p w14:paraId="3CB10EE8" w14:textId="6A1FED35"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4 239</w:t>
            </w:r>
          </w:p>
        </w:tc>
        <w:tc>
          <w:tcPr>
            <w:tcW w:w="988" w:type="dxa"/>
            <w:noWrap/>
            <w:vAlign w:val="center"/>
            <w:hideMark/>
          </w:tcPr>
          <w:p w14:paraId="6F95AB47" w14:textId="41B00889"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2.78%</w:t>
            </w:r>
          </w:p>
        </w:tc>
        <w:tc>
          <w:tcPr>
            <w:tcW w:w="993" w:type="dxa"/>
            <w:noWrap/>
            <w:vAlign w:val="center"/>
            <w:hideMark/>
          </w:tcPr>
          <w:p w14:paraId="5BD8AA31" w14:textId="6AD46256" w:rsidR="00185D21" w:rsidRPr="00D25AB9" w:rsidRDefault="00185D21" w:rsidP="00185D21">
            <w:pPr>
              <w:spacing w:before="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987</w:t>
            </w:r>
          </w:p>
        </w:tc>
        <w:tc>
          <w:tcPr>
            <w:tcW w:w="963" w:type="dxa"/>
            <w:noWrap/>
            <w:vAlign w:val="center"/>
            <w:hideMark/>
          </w:tcPr>
          <w:p w14:paraId="22060D1E" w14:textId="1141EA6A" w:rsidR="00185D21" w:rsidRPr="00D25AB9" w:rsidRDefault="00185D21" w:rsidP="00185D21">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0.63%</w:t>
            </w:r>
          </w:p>
        </w:tc>
      </w:tr>
    </w:tbl>
    <w:p w14:paraId="0ACBD981" w14:textId="55FD1599" w:rsidR="00A734D4" w:rsidRPr="00D25AB9" w:rsidRDefault="00A734D4" w:rsidP="00131E43">
      <w:pPr>
        <w:rPr>
          <w:rFonts w:ascii="Arial Narrow" w:hAnsi="Arial Narrow" w:cstheme="minorHAnsi"/>
        </w:rPr>
      </w:pPr>
    </w:p>
    <w:p w14:paraId="38CE18FF" w14:textId="4CD445B1" w:rsidR="00D4014C" w:rsidRPr="00D25AB9" w:rsidRDefault="00185D21" w:rsidP="00131E43">
      <w:pPr>
        <w:rPr>
          <w:rFonts w:ascii="Arial Narrow" w:hAnsi="Arial Narrow" w:cstheme="minorHAnsi"/>
        </w:rPr>
      </w:pPr>
      <w:r w:rsidRPr="00D25AB9">
        <w:rPr>
          <w:rFonts w:ascii="Arial Narrow" w:hAnsi="Arial Narrow"/>
          <w:noProof/>
          <w:lang w:eastAsia="lv-LV"/>
        </w:rPr>
        <w:drawing>
          <wp:inline distT="0" distB="0" distL="0" distR="0" wp14:anchorId="0876FA7B" wp14:editId="15D5214B">
            <wp:extent cx="5476874" cy="2371725"/>
            <wp:effectExtent l="0" t="0" r="10160" b="952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2082735-BB22-4317-B76C-66192EE100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0C43B7" w14:textId="50F4503B" w:rsidR="0080166A" w:rsidRDefault="00CB3193" w:rsidP="0080166A">
      <w:pPr>
        <w:rPr>
          <w:rFonts w:ascii="Arial Narrow" w:hAnsi="Arial Narrow" w:cstheme="minorHAnsi"/>
          <w:color w:val="000000" w:themeColor="text1"/>
        </w:rPr>
      </w:pPr>
      <w:r w:rsidRPr="00D25AB9">
        <w:rPr>
          <w:rFonts w:ascii="Arial Narrow" w:hAnsi="Arial Narrow" w:cstheme="minorHAnsi"/>
        </w:rPr>
        <w:t>Izdevum</w:t>
      </w:r>
      <w:r w:rsidR="00333B18" w:rsidRPr="00D25AB9">
        <w:rPr>
          <w:rFonts w:ascii="Arial Narrow" w:hAnsi="Arial Narrow" w:cstheme="minorHAnsi"/>
        </w:rPr>
        <w:t xml:space="preserve">i atlīdzībai veido </w:t>
      </w:r>
      <w:r w:rsidR="005B2F91" w:rsidRPr="00D25AB9">
        <w:rPr>
          <w:rFonts w:ascii="Arial Narrow" w:hAnsi="Arial Narrow" w:cstheme="minorHAnsi"/>
        </w:rPr>
        <w:t>63</w:t>
      </w:r>
      <w:r w:rsidR="00333B18" w:rsidRPr="00D25AB9">
        <w:rPr>
          <w:rFonts w:ascii="Arial Narrow" w:hAnsi="Arial Narrow" w:cstheme="minorHAnsi"/>
        </w:rPr>
        <w:t>% no kopējiem slimnīcas izdevumiem 202</w:t>
      </w:r>
      <w:r w:rsidR="00C4798F" w:rsidRPr="00D25AB9">
        <w:rPr>
          <w:rFonts w:ascii="Arial Narrow" w:hAnsi="Arial Narrow" w:cstheme="minorHAnsi"/>
        </w:rPr>
        <w:t>5</w:t>
      </w:r>
      <w:r w:rsidR="00333B18" w:rsidRPr="00D25AB9">
        <w:rPr>
          <w:rFonts w:ascii="Arial Narrow" w:hAnsi="Arial Narrow" w:cstheme="minorHAnsi"/>
        </w:rPr>
        <w:t>.gadā</w:t>
      </w:r>
      <w:r w:rsidR="00D4014C" w:rsidRPr="00D25AB9">
        <w:rPr>
          <w:rFonts w:ascii="Arial Narrow" w:hAnsi="Arial Narrow" w:cstheme="minorHAnsi"/>
        </w:rPr>
        <w:t xml:space="preserve"> </w:t>
      </w:r>
      <w:r w:rsidR="0097345E">
        <w:rPr>
          <w:rFonts w:ascii="Arial Narrow" w:hAnsi="Arial Narrow" w:cstheme="minorHAnsi"/>
        </w:rPr>
        <w:t>sešos mēnešos</w:t>
      </w:r>
      <w:r w:rsidR="00333B18" w:rsidRPr="00D25AB9">
        <w:rPr>
          <w:rFonts w:ascii="Arial Narrow" w:hAnsi="Arial Narrow" w:cstheme="minorHAnsi"/>
        </w:rPr>
        <w:t xml:space="preserve"> un</w:t>
      </w:r>
      <w:r w:rsidR="0097345E">
        <w:rPr>
          <w:rFonts w:ascii="Arial Narrow" w:hAnsi="Arial Narrow" w:cstheme="minorHAnsi"/>
        </w:rPr>
        <w:t xml:space="preserve"> </w:t>
      </w:r>
      <w:r w:rsidR="00333B18" w:rsidRPr="00D25AB9">
        <w:rPr>
          <w:rFonts w:ascii="Arial Narrow" w:hAnsi="Arial Narrow" w:cstheme="minorHAnsi"/>
        </w:rPr>
        <w:t>salīdzinot ar 202</w:t>
      </w:r>
      <w:r w:rsidR="006D6DDC" w:rsidRPr="00D25AB9">
        <w:rPr>
          <w:rFonts w:ascii="Arial Narrow" w:hAnsi="Arial Narrow" w:cstheme="minorHAnsi"/>
        </w:rPr>
        <w:t>4</w:t>
      </w:r>
      <w:r w:rsidR="00D4014C" w:rsidRPr="00D25AB9">
        <w:rPr>
          <w:rFonts w:ascii="Arial Narrow" w:hAnsi="Arial Narrow" w:cstheme="minorHAnsi"/>
        </w:rPr>
        <w:t xml:space="preserve">.gada </w:t>
      </w:r>
      <w:r w:rsidR="0097345E">
        <w:rPr>
          <w:rFonts w:ascii="Arial Narrow" w:hAnsi="Arial Narrow" w:cstheme="minorHAnsi"/>
        </w:rPr>
        <w:t>sešiem mēnešiem</w:t>
      </w:r>
      <w:r w:rsidR="00333B18" w:rsidRPr="00D25AB9">
        <w:rPr>
          <w:rFonts w:ascii="Arial Narrow" w:hAnsi="Arial Narrow" w:cstheme="minorHAnsi"/>
        </w:rPr>
        <w:t xml:space="preserve">, tie palielinājušies par </w:t>
      </w:r>
      <w:r w:rsidR="005B2F91" w:rsidRPr="00D25AB9">
        <w:rPr>
          <w:rFonts w:ascii="Arial Narrow" w:hAnsi="Arial Narrow" w:cstheme="minorHAnsi"/>
        </w:rPr>
        <w:t>13,12</w:t>
      </w:r>
      <w:r w:rsidR="00333B18" w:rsidRPr="00D25AB9">
        <w:rPr>
          <w:rFonts w:ascii="Arial Narrow" w:hAnsi="Arial Narrow" w:cstheme="minorHAnsi"/>
        </w:rPr>
        <w:t>%</w:t>
      </w:r>
      <w:r w:rsidR="003D4191" w:rsidRPr="00D25AB9">
        <w:rPr>
          <w:rFonts w:ascii="Arial Narrow" w:hAnsi="Arial Narrow" w:cstheme="minorHAnsi"/>
        </w:rPr>
        <w:t xml:space="preserve">, kas saistīts ar narkoloģijas </w:t>
      </w:r>
      <w:r w:rsidR="00102425">
        <w:rPr>
          <w:rFonts w:ascii="Arial Narrow" w:hAnsi="Arial Narrow" w:cstheme="minorHAnsi"/>
        </w:rPr>
        <w:t xml:space="preserve">profila </w:t>
      </w:r>
      <w:r w:rsidR="003D4191" w:rsidRPr="00D25AB9">
        <w:rPr>
          <w:rFonts w:ascii="Arial Narrow" w:hAnsi="Arial Narrow" w:cstheme="minorHAnsi"/>
        </w:rPr>
        <w:t>pakalpojuma ieviešanu</w:t>
      </w:r>
      <w:r w:rsidR="00333B18" w:rsidRPr="00D25AB9">
        <w:rPr>
          <w:rFonts w:ascii="Arial Narrow" w:hAnsi="Arial Narrow" w:cstheme="minorHAnsi"/>
        </w:rPr>
        <w:t>.</w:t>
      </w:r>
      <w:r w:rsidR="000A0288" w:rsidRPr="00D25AB9">
        <w:rPr>
          <w:rFonts w:ascii="Arial Narrow" w:hAnsi="Arial Narrow" w:cstheme="minorHAnsi"/>
        </w:rPr>
        <w:t xml:space="preserve"> Izdevumi par pakalpojumiem palielinājušies par </w:t>
      </w:r>
      <w:r w:rsidR="005B2F91" w:rsidRPr="00D25AB9">
        <w:rPr>
          <w:rFonts w:ascii="Arial Narrow" w:hAnsi="Arial Narrow" w:cstheme="minorHAnsi"/>
        </w:rPr>
        <w:t>7,94</w:t>
      </w:r>
      <w:r w:rsidR="000A0288" w:rsidRPr="00D25AB9">
        <w:rPr>
          <w:rFonts w:ascii="Arial Narrow" w:hAnsi="Arial Narrow" w:cstheme="minorHAnsi"/>
        </w:rPr>
        <w:t xml:space="preserve">% </w:t>
      </w:r>
      <w:r w:rsidR="00102425">
        <w:rPr>
          <w:rFonts w:ascii="Arial Narrow" w:hAnsi="Arial Narrow" w:cstheme="minorHAnsi"/>
        </w:rPr>
        <w:t>salīdzinot ar</w:t>
      </w:r>
      <w:r w:rsidR="000A0288" w:rsidRPr="00D25AB9">
        <w:rPr>
          <w:rFonts w:ascii="Arial Narrow" w:hAnsi="Arial Narrow" w:cstheme="minorHAnsi"/>
        </w:rPr>
        <w:t xml:space="preserve"> 202</w:t>
      </w:r>
      <w:r w:rsidR="0080166A" w:rsidRPr="00D25AB9">
        <w:rPr>
          <w:rFonts w:ascii="Arial Narrow" w:hAnsi="Arial Narrow" w:cstheme="minorHAnsi"/>
        </w:rPr>
        <w:t>4</w:t>
      </w:r>
      <w:r w:rsidR="000A0288" w:rsidRPr="00D25AB9">
        <w:rPr>
          <w:rFonts w:ascii="Arial Narrow" w:hAnsi="Arial Narrow" w:cstheme="minorHAnsi"/>
        </w:rPr>
        <w:t>.gad</w:t>
      </w:r>
      <w:r w:rsidR="00102425">
        <w:rPr>
          <w:rFonts w:ascii="Arial Narrow" w:hAnsi="Arial Narrow" w:cstheme="minorHAnsi"/>
        </w:rPr>
        <w:t xml:space="preserve">a sešiem </w:t>
      </w:r>
      <w:r w:rsidR="005B2F91" w:rsidRPr="00D25AB9">
        <w:rPr>
          <w:rFonts w:ascii="Arial Narrow" w:hAnsi="Arial Narrow" w:cstheme="minorHAnsi"/>
        </w:rPr>
        <w:t>mēn</w:t>
      </w:r>
      <w:r w:rsidR="00102425">
        <w:rPr>
          <w:rFonts w:ascii="Arial Narrow" w:hAnsi="Arial Narrow" w:cstheme="minorHAnsi"/>
        </w:rPr>
        <w:t>ešiem</w:t>
      </w:r>
      <w:r w:rsidR="000A0288" w:rsidRPr="00D25AB9">
        <w:rPr>
          <w:rFonts w:ascii="Arial Narrow" w:hAnsi="Arial Narrow" w:cstheme="minorHAnsi"/>
        </w:rPr>
        <w:t xml:space="preserve">, kas saistīts ar projektu un citu attīstības pasākumu realizāciju. </w:t>
      </w:r>
      <w:r w:rsidR="00FB7031" w:rsidRPr="00D25AB9">
        <w:rPr>
          <w:rFonts w:ascii="Arial Narrow" w:hAnsi="Arial Narrow" w:cstheme="minorHAnsi"/>
        </w:rPr>
        <w:t xml:space="preserve">Būtisks preču izdevumu </w:t>
      </w:r>
      <w:r w:rsidR="0080166A" w:rsidRPr="00D25AB9">
        <w:rPr>
          <w:rFonts w:ascii="Arial Narrow" w:hAnsi="Arial Narrow" w:cstheme="minorHAnsi"/>
        </w:rPr>
        <w:t>pieaugums</w:t>
      </w:r>
      <w:r w:rsidR="00FB7031" w:rsidRPr="00D25AB9">
        <w:rPr>
          <w:rFonts w:ascii="Arial Narrow" w:hAnsi="Arial Narrow" w:cstheme="minorHAnsi"/>
        </w:rPr>
        <w:t xml:space="preserve"> pret 2024.gada </w:t>
      </w:r>
      <w:r w:rsidR="00102425">
        <w:rPr>
          <w:rFonts w:ascii="Arial Narrow" w:hAnsi="Arial Narrow" w:cstheme="minorHAnsi"/>
        </w:rPr>
        <w:t xml:space="preserve">sešiem </w:t>
      </w:r>
      <w:r w:rsidR="00102425" w:rsidRPr="00D25AB9">
        <w:rPr>
          <w:rFonts w:ascii="Arial Narrow" w:hAnsi="Arial Narrow" w:cstheme="minorHAnsi"/>
        </w:rPr>
        <w:t>mēn</w:t>
      </w:r>
      <w:r w:rsidR="00102425">
        <w:rPr>
          <w:rFonts w:ascii="Arial Narrow" w:hAnsi="Arial Narrow" w:cstheme="minorHAnsi"/>
        </w:rPr>
        <w:t>ešiem</w:t>
      </w:r>
      <w:r w:rsidR="00102425" w:rsidRPr="00D25AB9">
        <w:rPr>
          <w:rFonts w:ascii="Arial Narrow" w:hAnsi="Arial Narrow" w:cstheme="minorHAnsi"/>
        </w:rPr>
        <w:t xml:space="preserve"> </w:t>
      </w:r>
      <w:r w:rsidR="00FB7031" w:rsidRPr="00D25AB9">
        <w:rPr>
          <w:rFonts w:ascii="Arial Narrow" w:hAnsi="Arial Narrow" w:cstheme="minorHAnsi"/>
        </w:rPr>
        <w:t>saistīts ar to, ka 202</w:t>
      </w:r>
      <w:r w:rsidR="0080166A" w:rsidRPr="00D25AB9">
        <w:rPr>
          <w:rFonts w:ascii="Arial Narrow" w:hAnsi="Arial Narrow" w:cstheme="minorHAnsi"/>
        </w:rPr>
        <w:t>5</w:t>
      </w:r>
      <w:r w:rsidR="00FB7031" w:rsidRPr="00D25AB9">
        <w:rPr>
          <w:rFonts w:ascii="Arial Narrow" w:hAnsi="Arial Narrow" w:cstheme="minorHAnsi"/>
        </w:rPr>
        <w:t xml:space="preserve">.gadā </w:t>
      </w:r>
      <w:r w:rsidR="0080166A" w:rsidRPr="00D25AB9">
        <w:rPr>
          <w:rFonts w:ascii="Arial Narrow" w:hAnsi="Arial Narrow" w:cstheme="minorHAnsi"/>
          <w:color w:val="000000" w:themeColor="text1"/>
        </w:rPr>
        <w:t xml:space="preserve">slimnīca </w:t>
      </w:r>
      <w:r w:rsidR="00102425">
        <w:rPr>
          <w:rFonts w:ascii="Arial Narrow" w:hAnsi="Arial Narrow" w:cstheme="minorHAnsi"/>
          <w:color w:val="000000" w:themeColor="text1"/>
        </w:rPr>
        <w:t>uz</w:t>
      </w:r>
      <w:r w:rsidR="0080166A" w:rsidRPr="00D25AB9">
        <w:rPr>
          <w:rFonts w:ascii="Arial Narrow" w:hAnsi="Arial Narrow" w:cstheme="minorHAnsi"/>
          <w:color w:val="000000" w:themeColor="text1"/>
        </w:rPr>
        <w:t>sāk</w:t>
      </w:r>
      <w:r w:rsidR="00102425">
        <w:rPr>
          <w:rFonts w:ascii="Arial Narrow" w:hAnsi="Arial Narrow" w:cstheme="minorHAnsi"/>
          <w:color w:val="000000" w:themeColor="text1"/>
        </w:rPr>
        <w:t>a</w:t>
      </w:r>
      <w:r w:rsidR="0080166A" w:rsidRPr="00D25AB9">
        <w:rPr>
          <w:rFonts w:ascii="Arial Narrow" w:hAnsi="Arial Narrow" w:cstheme="minorHAnsi"/>
          <w:color w:val="000000" w:themeColor="text1"/>
        </w:rPr>
        <w:t xml:space="preserve"> sniegt stacionār</w:t>
      </w:r>
      <w:r w:rsidR="00102425">
        <w:rPr>
          <w:rFonts w:ascii="Arial Narrow" w:hAnsi="Arial Narrow" w:cstheme="minorHAnsi"/>
          <w:color w:val="000000" w:themeColor="text1"/>
        </w:rPr>
        <w:t>o</w:t>
      </w:r>
      <w:r w:rsidR="0080166A" w:rsidRPr="00D25AB9">
        <w:rPr>
          <w:rFonts w:ascii="Arial Narrow" w:hAnsi="Arial Narrow" w:cstheme="minorHAnsi"/>
          <w:color w:val="000000" w:themeColor="text1"/>
        </w:rPr>
        <w:t>s un ambulator</w:t>
      </w:r>
      <w:r w:rsidR="00102425">
        <w:rPr>
          <w:rFonts w:ascii="Arial Narrow" w:hAnsi="Arial Narrow" w:cstheme="minorHAnsi"/>
          <w:color w:val="000000" w:themeColor="text1"/>
        </w:rPr>
        <w:t>o</w:t>
      </w:r>
      <w:r w:rsidR="0080166A" w:rsidRPr="00D25AB9">
        <w:rPr>
          <w:rFonts w:ascii="Arial Narrow" w:hAnsi="Arial Narrow" w:cstheme="minorHAnsi"/>
          <w:color w:val="000000" w:themeColor="text1"/>
        </w:rPr>
        <w:t xml:space="preserve">s </w:t>
      </w:r>
      <w:r w:rsidR="00102425">
        <w:rPr>
          <w:rFonts w:ascii="Arial Narrow" w:hAnsi="Arial Narrow" w:cstheme="minorHAnsi"/>
          <w:color w:val="000000" w:themeColor="text1"/>
        </w:rPr>
        <w:t xml:space="preserve">veselības aprūpes </w:t>
      </w:r>
      <w:r w:rsidR="0080166A" w:rsidRPr="00D25AB9">
        <w:rPr>
          <w:rFonts w:ascii="Arial Narrow" w:hAnsi="Arial Narrow" w:cstheme="minorHAnsi"/>
          <w:color w:val="000000" w:themeColor="text1"/>
        </w:rPr>
        <w:t xml:space="preserve">pakalpojumus narkoloģijas profilā. </w:t>
      </w:r>
    </w:p>
    <w:p w14:paraId="47B6DA00" w14:textId="77777777" w:rsidR="00102425" w:rsidRDefault="00102425" w:rsidP="0080166A">
      <w:pPr>
        <w:rPr>
          <w:rFonts w:ascii="Arial Narrow" w:hAnsi="Arial Narrow" w:cstheme="minorHAnsi"/>
          <w:color w:val="000000" w:themeColor="text1"/>
        </w:rPr>
      </w:pPr>
    </w:p>
    <w:p w14:paraId="5B5BD8D5" w14:textId="77777777" w:rsidR="00C912BF" w:rsidRPr="00D25AB9" w:rsidRDefault="00C912BF" w:rsidP="00304765">
      <w:pPr>
        <w:pStyle w:val="Heading2"/>
        <w:rPr>
          <w:rStyle w:val="IntenseEmphasis"/>
          <w:rFonts w:ascii="Arial Narrow" w:hAnsi="Arial Narrow" w:cstheme="minorHAnsi"/>
          <w:b w:val="0"/>
          <w:bCs w:val="0"/>
          <w:caps/>
          <w:color w:val="auto"/>
          <w:spacing w:val="15"/>
        </w:rPr>
      </w:pPr>
      <w:r w:rsidRPr="00D25AB9">
        <w:rPr>
          <w:rStyle w:val="IntenseEmphasis"/>
          <w:rFonts w:ascii="Arial Narrow" w:hAnsi="Arial Narrow" w:cstheme="minorHAnsi"/>
          <w:b w:val="0"/>
          <w:bCs w:val="0"/>
          <w:caps/>
          <w:color w:val="auto"/>
          <w:spacing w:val="15"/>
        </w:rPr>
        <w:t>Ieguldījumi infrastruktūrā</w:t>
      </w:r>
    </w:p>
    <w:p w14:paraId="12D5FF2F" w14:textId="17AB3E87" w:rsidR="00C912BF" w:rsidRDefault="00C912BF" w:rsidP="008D6E57">
      <w:pPr>
        <w:rPr>
          <w:rFonts w:ascii="Arial Narrow" w:hAnsi="Arial Narrow"/>
        </w:rPr>
      </w:pPr>
      <w:r w:rsidRPr="00102425">
        <w:rPr>
          <w:rFonts w:ascii="Arial Narrow" w:hAnsi="Arial Narrow"/>
        </w:rPr>
        <w:t xml:space="preserve">Kopā Slimnīca pārskata periodā ir veikusi ilgtermiņa ieguldījumus </w:t>
      </w:r>
      <w:r w:rsidR="008D6E57" w:rsidRPr="00102425">
        <w:rPr>
          <w:rFonts w:ascii="Arial Narrow" w:hAnsi="Arial Narrow"/>
        </w:rPr>
        <w:t>430,9</w:t>
      </w:r>
      <w:r w:rsidRPr="00102425">
        <w:rPr>
          <w:rFonts w:ascii="Arial Narrow" w:hAnsi="Arial Narrow"/>
        </w:rPr>
        <w:t xml:space="preserve"> </w:t>
      </w:r>
      <w:r w:rsidR="00E7197A" w:rsidRPr="00102425">
        <w:rPr>
          <w:rFonts w:ascii="Arial Narrow" w:hAnsi="Arial Narrow"/>
        </w:rPr>
        <w:t>tūkstošu EUR</w:t>
      </w:r>
      <w:r w:rsidRPr="00102425">
        <w:rPr>
          <w:rFonts w:ascii="Arial Narrow" w:hAnsi="Arial Narrow"/>
        </w:rPr>
        <w:t xml:space="preserve"> apmērā</w:t>
      </w:r>
      <w:r w:rsidR="00E7197A" w:rsidRPr="00102425">
        <w:rPr>
          <w:rFonts w:ascii="Arial Narrow" w:hAnsi="Arial Narrow"/>
        </w:rPr>
        <w:t xml:space="preserve">, kas ir par </w:t>
      </w:r>
      <w:r w:rsidR="008D6E57" w:rsidRPr="00102425">
        <w:rPr>
          <w:rFonts w:ascii="Arial Narrow" w:hAnsi="Arial Narrow"/>
        </w:rPr>
        <w:t>9,8</w:t>
      </w:r>
      <w:r w:rsidR="00E7197A" w:rsidRPr="00102425">
        <w:rPr>
          <w:rFonts w:ascii="Arial Narrow" w:hAnsi="Arial Narrow"/>
        </w:rPr>
        <w:t xml:space="preserve"> tūkstošu EUR </w:t>
      </w:r>
      <w:r w:rsidR="0080166A" w:rsidRPr="00102425">
        <w:rPr>
          <w:rFonts w:ascii="Arial Narrow" w:hAnsi="Arial Narrow"/>
        </w:rPr>
        <w:t>lielāk</w:t>
      </w:r>
      <w:r w:rsidR="00E7197A" w:rsidRPr="00102425">
        <w:rPr>
          <w:rFonts w:ascii="Arial Narrow" w:hAnsi="Arial Narrow"/>
        </w:rPr>
        <w:t xml:space="preserve"> nekā tika plānots.</w:t>
      </w:r>
      <w:r w:rsidRPr="00102425">
        <w:rPr>
          <w:rFonts w:ascii="Arial Narrow" w:hAnsi="Arial Narrow"/>
        </w:rPr>
        <w:t xml:space="preserve"> </w:t>
      </w:r>
      <w:r w:rsidR="003D4191" w:rsidRPr="00102425">
        <w:rPr>
          <w:rFonts w:ascii="Arial Narrow" w:hAnsi="Arial Narrow"/>
        </w:rPr>
        <w:t xml:space="preserve">Ieguldījumi ir veikti uzņemšanas nodaļas </w:t>
      </w:r>
      <w:r w:rsidR="00102425">
        <w:rPr>
          <w:rFonts w:ascii="Arial Narrow" w:hAnsi="Arial Narrow"/>
        </w:rPr>
        <w:t xml:space="preserve">vienkāršotās atjaunošanas </w:t>
      </w:r>
      <w:r w:rsidR="008D6E57" w:rsidRPr="00102425">
        <w:rPr>
          <w:rFonts w:ascii="Arial Narrow" w:hAnsi="Arial Narrow"/>
        </w:rPr>
        <w:t>projekta ietvaros, kā arī tika uzsākt</w:t>
      </w:r>
      <w:r w:rsidR="00102425">
        <w:rPr>
          <w:rFonts w:ascii="Arial Narrow" w:hAnsi="Arial Narrow"/>
        </w:rPr>
        <w:t>s jauns ES Atveseļošanas fonda projekts</w:t>
      </w:r>
      <w:r w:rsidR="00277928">
        <w:rPr>
          <w:rFonts w:ascii="Arial Narrow" w:hAnsi="Arial Narrow"/>
        </w:rPr>
        <w:t xml:space="preserve">, kura ietvaros veikts avansa maksājums (noslēgts līgums par </w:t>
      </w:r>
      <w:r w:rsidR="008D6E57" w:rsidRPr="00102425">
        <w:rPr>
          <w:rFonts w:ascii="Arial Narrow" w:hAnsi="Arial Narrow"/>
        </w:rPr>
        <w:t xml:space="preserve"> </w:t>
      </w:r>
      <w:r w:rsidR="00277928">
        <w:rPr>
          <w:rFonts w:ascii="Arial Narrow" w:hAnsi="Arial Narrow"/>
        </w:rPr>
        <w:t xml:space="preserve">būvniecības ieceres, būvdarbu un autoruzraudzības pakalpojumiem).  </w:t>
      </w:r>
    </w:p>
    <w:p w14:paraId="1F8A8E72" w14:textId="77777777" w:rsidR="00277928" w:rsidRPr="00D25AB9" w:rsidRDefault="00277928" w:rsidP="008D6E57">
      <w:pPr>
        <w:rPr>
          <w:rStyle w:val="IntenseEmphasis"/>
          <w:rFonts w:ascii="Arial Narrow" w:hAnsi="Arial Narrow" w:cstheme="minorHAnsi"/>
          <w:b w:val="0"/>
          <w:bCs w:val="0"/>
          <w:caps w:val="0"/>
          <w:color w:val="FFFFFF" w:themeColor="background1"/>
          <w:spacing w:val="15"/>
        </w:rPr>
      </w:pPr>
    </w:p>
    <w:p w14:paraId="36AB649F" w14:textId="77777777" w:rsidR="00C912BF" w:rsidRPr="00D25AB9" w:rsidRDefault="00C912BF" w:rsidP="00E7197A">
      <w:pPr>
        <w:pStyle w:val="Heading2"/>
        <w:rPr>
          <w:rFonts w:ascii="Arial Narrow" w:hAnsi="Arial Narrow" w:cstheme="minorHAnsi"/>
          <w:color w:val="FF0000"/>
        </w:rPr>
      </w:pPr>
      <w:r w:rsidRPr="00D25AB9">
        <w:rPr>
          <w:rFonts w:ascii="Arial Narrow" w:hAnsi="Arial Narrow" w:cstheme="minorHAnsi"/>
        </w:rPr>
        <w:lastRenderedPageBreak/>
        <w:t>Darbinieku skaitliskais sastāvs</w:t>
      </w:r>
    </w:p>
    <w:p w14:paraId="591E4586" w14:textId="30395873" w:rsidR="00E7197A" w:rsidRPr="00D25AB9" w:rsidRDefault="00D04156" w:rsidP="00131E43">
      <w:pPr>
        <w:rPr>
          <w:rFonts w:ascii="Arial Narrow" w:hAnsi="Arial Narrow" w:cstheme="minorHAnsi"/>
        </w:rPr>
      </w:pPr>
      <w:r w:rsidRPr="00D25AB9">
        <w:rPr>
          <w:rFonts w:ascii="Arial Narrow" w:hAnsi="Arial Narrow" w:cstheme="minorHAnsi"/>
        </w:rPr>
        <w:t>Informācija par Slimnīcas darbinieku skaitu:</w:t>
      </w:r>
    </w:p>
    <w:tbl>
      <w:tblPr>
        <w:tblStyle w:val="GridTable1Light-Accent2"/>
        <w:tblW w:w="9500" w:type="dxa"/>
        <w:tblLayout w:type="fixed"/>
        <w:tblLook w:val="0460" w:firstRow="1" w:lastRow="1" w:firstColumn="0" w:lastColumn="0" w:noHBand="0" w:noVBand="1"/>
      </w:tblPr>
      <w:tblGrid>
        <w:gridCol w:w="2967"/>
        <w:gridCol w:w="992"/>
        <w:gridCol w:w="1134"/>
        <w:gridCol w:w="993"/>
        <w:gridCol w:w="850"/>
        <w:gridCol w:w="997"/>
        <w:gridCol w:w="647"/>
        <w:gridCol w:w="920"/>
      </w:tblGrid>
      <w:tr w:rsidR="00101BE7" w:rsidRPr="00D25AB9" w14:paraId="76784A11" w14:textId="77777777" w:rsidTr="00501A62">
        <w:trPr>
          <w:cnfStyle w:val="100000000000" w:firstRow="1" w:lastRow="0" w:firstColumn="0" w:lastColumn="0" w:oddVBand="0" w:evenVBand="0" w:oddHBand="0" w:evenHBand="0" w:firstRowFirstColumn="0" w:firstRowLastColumn="0" w:lastRowFirstColumn="0" w:lastRowLastColumn="0"/>
          <w:trHeight w:val="300"/>
          <w:tblHeader/>
        </w:trPr>
        <w:tc>
          <w:tcPr>
            <w:tcW w:w="2967" w:type="dxa"/>
            <w:vMerge w:val="restart"/>
            <w:hideMark/>
          </w:tcPr>
          <w:p w14:paraId="74624863" w14:textId="77777777" w:rsidR="00D04156" w:rsidRPr="00D25AB9" w:rsidRDefault="00D04156" w:rsidP="00D0415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Nosaukums/ Mērvienība</w:t>
            </w:r>
          </w:p>
        </w:tc>
        <w:tc>
          <w:tcPr>
            <w:tcW w:w="992" w:type="dxa"/>
            <w:vMerge w:val="restart"/>
            <w:hideMark/>
          </w:tcPr>
          <w:p w14:paraId="797FFCD1" w14:textId="1DFBA88F" w:rsidR="00D04156" w:rsidRPr="00D25AB9" w:rsidRDefault="00D04156" w:rsidP="008D6E57">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Izpilde 202</w:t>
            </w:r>
            <w:r w:rsidR="003C552F" w:rsidRPr="00D25AB9">
              <w:rPr>
                <w:rFonts w:ascii="Arial Narrow" w:eastAsia="Times New Roman" w:hAnsi="Arial Narrow" w:cstheme="minorHAnsi"/>
                <w:sz w:val="22"/>
                <w:szCs w:val="22"/>
                <w:lang w:eastAsia="lv-LV"/>
              </w:rPr>
              <w:t>4</w:t>
            </w:r>
            <w:r w:rsidRPr="00D25AB9">
              <w:rPr>
                <w:rFonts w:ascii="Arial Narrow" w:eastAsia="Times New Roman" w:hAnsi="Arial Narrow" w:cstheme="minorHAnsi"/>
                <w:sz w:val="22"/>
                <w:szCs w:val="22"/>
                <w:lang w:eastAsia="lv-LV"/>
              </w:rPr>
              <w:t>. g</w:t>
            </w:r>
            <w:r w:rsidR="007A244D" w:rsidRPr="00D25AB9">
              <w:rPr>
                <w:rFonts w:ascii="Arial Narrow" w:eastAsia="Times New Roman" w:hAnsi="Arial Narrow" w:cstheme="minorHAnsi"/>
                <w:sz w:val="22"/>
                <w:szCs w:val="22"/>
                <w:lang w:eastAsia="lv-LV"/>
              </w:rPr>
              <w:t xml:space="preserve">. </w:t>
            </w:r>
            <w:r w:rsidR="008D6E57" w:rsidRPr="00D25AB9">
              <w:rPr>
                <w:rFonts w:ascii="Arial Narrow" w:eastAsia="Times New Roman" w:hAnsi="Arial Narrow" w:cstheme="minorHAnsi"/>
                <w:sz w:val="22"/>
                <w:szCs w:val="22"/>
                <w:lang w:eastAsia="lv-LV"/>
              </w:rPr>
              <w:t>6</w:t>
            </w:r>
            <w:r w:rsidR="007A244D" w:rsidRPr="00D25AB9">
              <w:rPr>
                <w:rFonts w:ascii="Arial Narrow" w:eastAsia="Times New Roman" w:hAnsi="Arial Narrow" w:cstheme="minorHAnsi"/>
                <w:sz w:val="22"/>
                <w:szCs w:val="22"/>
                <w:lang w:eastAsia="lv-LV"/>
              </w:rPr>
              <w:t>.</w:t>
            </w:r>
            <w:r w:rsidR="008D6E57" w:rsidRPr="00D25AB9">
              <w:rPr>
                <w:rFonts w:ascii="Arial Narrow" w:eastAsia="Times New Roman" w:hAnsi="Arial Narrow" w:cstheme="minorHAnsi"/>
                <w:sz w:val="22"/>
                <w:szCs w:val="22"/>
                <w:lang w:eastAsia="lv-LV"/>
              </w:rPr>
              <w:t>mēn.</w:t>
            </w:r>
          </w:p>
        </w:tc>
        <w:tc>
          <w:tcPr>
            <w:tcW w:w="1134" w:type="dxa"/>
            <w:vMerge w:val="restart"/>
            <w:hideMark/>
          </w:tcPr>
          <w:p w14:paraId="3E12CBB2" w14:textId="52B620EC" w:rsidR="00D04156" w:rsidRPr="00D25AB9" w:rsidRDefault="00D04156" w:rsidP="003C552F">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Plāns 202</w:t>
            </w:r>
            <w:r w:rsidR="003C552F"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 gada</w:t>
            </w:r>
            <w:r w:rsidR="00501A62" w:rsidRPr="00D25AB9">
              <w:rPr>
                <w:rFonts w:ascii="Arial Narrow" w:eastAsia="Times New Roman" w:hAnsi="Arial Narrow" w:cstheme="minorHAnsi"/>
                <w:sz w:val="22"/>
                <w:szCs w:val="22"/>
                <w:lang w:eastAsia="lv-LV"/>
              </w:rPr>
              <w:t xml:space="preserve"> </w:t>
            </w:r>
            <w:r w:rsidR="008D6E57" w:rsidRPr="00D25AB9">
              <w:rPr>
                <w:rFonts w:ascii="Arial Narrow" w:eastAsia="Times New Roman" w:hAnsi="Arial Narrow" w:cstheme="minorHAnsi"/>
                <w:sz w:val="22"/>
                <w:szCs w:val="22"/>
                <w:lang w:eastAsia="lv-LV"/>
              </w:rPr>
              <w:t>6.mēn.</w:t>
            </w:r>
          </w:p>
        </w:tc>
        <w:tc>
          <w:tcPr>
            <w:tcW w:w="993" w:type="dxa"/>
            <w:vMerge w:val="restart"/>
            <w:hideMark/>
          </w:tcPr>
          <w:p w14:paraId="721D498C" w14:textId="6BA0A65D" w:rsidR="00D04156" w:rsidRPr="00D25AB9" w:rsidRDefault="00D04156" w:rsidP="003C552F">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Izpilde 202</w:t>
            </w:r>
            <w:r w:rsidR="003C552F"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 gada</w:t>
            </w:r>
            <w:r w:rsidR="00501A62" w:rsidRPr="00D25AB9">
              <w:rPr>
                <w:rFonts w:ascii="Arial Narrow" w:eastAsia="Times New Roman" w:hAnsi="Arial Narrow" w:cstheme="minorHAnsi"/>
                <w:sz w:val="22"/>
                <w:szCs w:val="22"/>
                <w:lang w:eastAsia="lv-LV"/>
              </w:rPr>
              <w:t xml:space="preserve"> </w:t>
            </w:r>
            <w:r w:rsidR="008D6E57" w:rsidRPr="00D25AB9">
              <w:rPr>
                <w:rFonts w:ascii="Arial Narrow" w:eastAsia="Times New Roman" w:hAnsi="Arial Narrow" w:cstheme="minorHAnsi"/>
                <w:sz w:val="22"/>
                <w:szCs w:val="22"/>
                <w:lang w:eastAsia="lv-LV"/>
              </w:rPr>
              <w:t>6.mēn.</w:t>
            </w:r>
          </w:p>
        </w:tc>
        <w:tc>
          <w:tcPr>
            <w:tcW w:w="1847" w:type="dxa"/>
            <w:gridSpan w:val="2"/>
            <w:hideMark/>
          </w:tcPr>
          <w:p w14:paraId="689B708D" w14:textId="66DB7F0A" w:rsidR="00D04156" w:rsidRPr="00D25AB9" w:rsidRDefault="00501A62" w:rsidP="00D0415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Novirze pret 2024</w:t>
            </w:r>
            <w:r w:rsidR="00D04156" w:rsidRPr="00D25AB9">
              <w:rPr>
                <w:rFonts w:ascii="Arial Narrow" w:eastAsia="Times New Roman" w:hAnsi="Arial Narrow" w:cstheme="minorHAnsi"/>
                <w:sz w:val="22"/>
                <w:szCs w:val="22"/>
                <w:lang w:eastAsia="lv-LV"/>
              </w:rPr>
              <w:t>.gadu</w:t>
            </w:r>
            <w:r w:rsidRPr="00D25AB9">
              <w:rPr>
                <w:rFonts w:ascii="Arial Narrow" w:eastAsia="Times New Roman" w:hAnsi="Arial Narrow" w:cstheme="minorHAnsi"/>
                <w:sz w:val="22"/>
                <w:szCs w:val="22"/>
                <w:lang w:eastAsia="lv-LV"/>
              </w:rPr>
              <w:t xml:space="preserve"> </w:t>
            </w:r>
            <w:r w:rsidR="008D6E57" w:rsidRPr="00D25AB9">
              <w:rPr>
                <w:rFonts w:ascii="Arial Narrow" w:eastAsia="Times New Roman" w:hAnsi="Arial Narrow" w:cstheme="minorHAnsi"/>
                <w:sz w:val="22"/>
                <w:szCs w:val="22"/>
                <w:lang w:eastAsia="lv-LV"/>
              </w:rPr>
              <w:t>6.mēn.</w:t>
            </w:r>
          </w:p>
        </w:tc>
        <w:tc>
          <w:tcPr>
            <w:tcW w:w="1567" w:type="dxa"/>
            <w:gridSpan w:val="2"/>
            <w:hideMark/>
          </w:tcPr>
          <w:p w14:paraId="2E39B242" w14:textId="21209A12" w:rsidR="00D04156" w:rsidRPr="00D25AB9" w:rsidRDefault="00D04156" w:rsidP="00501A62">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Novirze pret 202</w:t>
            </w:r>
            <w:r w:rsidR="00501A62" w:rsidRPr="00D25AB9">
              <w:rPr>
                <w:rFonts w:ascii="Arial Narrow" w:eastAsia="Times New Roman" w:hAnsi="Arial Narrow" w:cstheme="minorHAnsi"/>
                <w:sz w:val="22"/>
                <w:szCs w:val="22"/>
                <w:lang w:eastAsia="lv-LV"/>
              </w:rPr>
              <w:t>5</w:t>
            </w:r>
            <w:r w:rsidRPr="00D25AB9">
              <w:rPr>
                <w:rFonts w:ascii="Arial Narrow" w:eastAsia="Times New Roman" w:hAnsi="Arial Narrow" w:cstheme="minorHAnsi"/>
                <w:sz w:val="22"/>
                <w:szCs w:val="22"/>
                <w:lang w:eastAsia="lv-LV"/>
              </w:rPr>
              <w:t>.gadu</w:t>
            </w:r>
            <w:r w:rsidR="00501A62" w:rsidRPr="00D25AB9">
              <w:rPr>
                <w:rFonts w:ascii="Arial Narrow" w:eastAsia="Times New Roman" w:hAnsi="Arial Narrow" w:cstheme="minorHAnsi"/>
                <w:sz w:val="22"/>
                <w:szCs w:val="22"/>
                <w:lang w:eastAsia="lv-LV"/>
              </w:rPr>
              <w:t xml:space="preserve"> </w:t>
            </w:r>
            <w:r w:rsidR="008D6E57" w:rsidRPr="00D25AB9">
              <w:rPr>
                <w:rFonts w:ascii="Arial Narrow" w:eastAsia="Times New Roman" w:hAnsi="Arial Narrow" w:cstheme="minorHAnsi"/>
                <w:sz w:val="22"/>
                <w:szCs w:val="22"/>
                <w:lang w:eastAsia="lv-LV"/>
              </w:rPr>
              <w:t>6.mēn.</w:t>
            </w:r>
            <w:r w:rsidR="00501A62" w:rsidRPr="00D25AB9">
              <w:rPr>
                <w:rFonts w:ascii="Arial Narrow" w:eastAsia="Times New Roman" w:hAnsi="Arial Narrow" w:cstheme="minorHAnsi"/>
                <w:sz w:val="22"/>
                <w:szCs w:val="22"/>
                <w:lang w:eastAsia="lv-LV"/>
              </w:rPr>
              <w:t>plānu</w:t>
            </w:r>
          </w:p>
        </w:tc>
      </w:tr>
      <w:tr w:rsidR="00101BE7" w:rsidRPr="00D25AB9" w14:paraId="0DDCC246" w14:textId="77777777" w:rsidTr="00501A62">
        <w:trPr>
          <w:cnfStyle w:val="100000000000" w:firstRow="1" w:lastRow="0" w:firstColumn="0" w:lastColumn="0" w:oddVBand="0" w:evenVBand="0" w:oddHBand="0" w:evenHBand="0" w:firstRowFirstColumn="0" w:firstRowLastColumn="0" w:lastRowFirstColumn="0" w:lastRowLastColumn="0"/>
          <w:trHeight w:val="315"/>
          <w:tblHeader/>
        </w:trPr>
        <w:tc>
          <w:tcPr>
            <w:tcW w:w="2967" w:type="dxa"/>
            <w:vMerge/>
            <w:hideMark/>
          </w:tcPr>
          <w:p w14:paraId="7FBE61F0" w14:textId="77777777" w:rsidR="00D04156" w:rsidRPr="00D25AB9" w:rsidRDefault="00D04156" w:rsidP="00D04156">
            <w:pPr>
              <w:spacing w:before="0"/>
              <w:jc w:val="left"/>
              <w:rPr>
                <w:rFonts w:ascii="Arial Narrow" w:eastAsia="Times New Roman" w:hAnsi="Arial Narrow" w:cstheme="minorHAnsi"/>
                <w:b w:val="0"/>
                <w:bCs w:val="0"/>
                <w:sz w:val="22"/>
                <w:szCs w:val="22"/>
                <w:lang w:eastAsia="lv-LV"/>
              </w:rPr>
            </w:pPr>
          </w:p>
        </w:tc>
        <w:tc>
          <w:tcPr>
            <w:tcW w:w="992" w:type="dxa"/>
            <w:vMerge/>
            <w:hideMark/>
          </w:tcPr>
          <w:p w14:paraId="45C02674" w14:textId="77777777" w:rsidR="00D04156" w:rsidRPr="00D25AB9" w:rsidRDefault="00D04156" w:rsidP="00D04156">
            <w:pPr>
              <w:spacing w:before="0"/>
              <w:jc w:val="left"/>
              <w:rPr>
                <w:rFonts w:ascii="Arial Narrow" w:eastAsia="Times New Roman" w:hAnsi="Arial Narrow" w:cstheme="minorHAnsi"/>
                <w:b w:val="0"/>
                <w:bCs w:val="0"/>
                <w:sz w:val="22"/>
                <w:szCs w:val="22"/>
                <w:lang w:eastAsia="lv-LV"/>
              </w:rPr>
            </w:pPr>
          </w:p>
        </w:tc>
        <w:tc>
          <w:tcPr>
            <w:tcW w:w="1134" w:type="dxa"/>
            <w:vMerge/>
            <w:hideMark/>
          </w:tcPr>
          <w:p w14:paraId="77900A20" w14:textId="77777777" w:rsidR="00D04156" w:rsidRPr="00D25AB9" w:rsidRDefault="00D04156" w:rsidP="00D04156">
            <w:pPr>
              <w:spacing w:before="0"/>
              <w:jc w:val="left"/>
              <w:rPr>
                <w:rFonts w:ascii="Arial Narrow" w:eastAsia="Times New Roman" w:hAnsi="Arial Narrow" w:cstheme="minorHAnsi"/>
                <w:b w:val="0"/>
                <w:bCs w:val="0"/>
                <w:sz w:val="22"/>
                <w:szCs w:val="22"/>
                <w:lang w:eastAsia="lv-LV"/>
              </w:rPr>
            </w:pPr>
          </w:p>
        </w:tc>
        <w:tc>
          <w:tcPr>
            <w:tcW w:w="993" w:type="dxa"/>
            <w:vMerge/>
            <w:hideMark/>
          </w:tcPr>
          <w:p w14:paraId="6BE17398" w14:textId="77777777" w:rsidR="00D04156" w:rsidRPr="00D25AB9" w:rsidRDefault="00D04156" w:rsidP="00D04156">
            <w:pPr>
              <w:spacing w:before="0"/>
              <w:jc w:val="left"/>
              <w:rPr>
                <w:rFonts w:ascii="Arial Narrow" w:eastAsia="Times New Roman" w:hAnsi="Arial Narrow" w:cstheme="minorHAnsi"/>
                <w:b w:val="0"/>
                <w:bCs w:val="0"/>
                <w:sz w:val="22"/>
                <w:szCs w:val="22"/>
                <w:lang w:eastAsia="lv-LV"/>
              </w:rPr>
            </w:pPr>
          </w:p>
        </w:tc>
        <w:tc>
          <w:tcPr>
            <w:tcW w:w="850" w:type="dxa"/>
            <w:hideMark/>
          </w:tcPr>
          <w:p w14:paraId="431C85BB" w14:textId="36F4C0A5" w:rsidR="00D04156" w:rsidRPr="00D25AB9" w:rsidRDefault="00D04156" w:rsidP="00D0415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skaits</w:t>
            </w:r>
          </w:p>
        </w:tc>
        <w:tc>
          <w:tcPr>
            <w:tcW w:w="997" w:type="dxa"/>
            <w:hideMark/>
          </w:tcPr>
          <w:p w14:paraId="384325FC" w14:textId="77777777" w:rsidR="00D04156" w:rsidRPr="00D25AB9" w:rsidRDefault="00D04156" w:rsidP="00D0415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w:t>
            </w:r>
          </w:p>
        </w:tc>
        <w:tc>
          <w:tcPr>
            <w:tcW w:w="647" w:type="dxa"/>
            <w:hideMark/>
          </w:tcPr>
          <w:p w14:paraId="0315003A" w14:textId="2CB7A15C" w:rsidR="00D04156" w:rsidRPr="00D25AB9" w:rsidRDefault="00D04156" w:rsidP="00D0415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skaits</w:t>
            </w:r>
          </w:p>
        </w:tc>
        <w:tc>
          <w:tcPr>
            <w:tcW w:w="920" w:type="dxa"/>
            <w:hideMark/>
          </w:tcPr>
          <w:p w14:paraId="57B67614" w14:textId="77777777" w:rsidR="00D04156" w:rsidRPr="00D25AB9" w:rsidRDefault="00D04156" w:rsidP="00D04156">
            <w:pPr>
              <w:spacing w:before="0"/>
              <w:jc w:val="center"/>
              <w:rPr>
                <w:rFonts w:ascii="Arial Narrow" w:eastAsia="Times New Roman" w:hAnsi="Arial Narrow" w:cstheme="minorHAnsi"/>
                <w:b w:val="0"/>
                <w:bCs w:val="0"/>
                <w:sz w:val="22"/>
                <w:szCs w:val="22"/>
                <w:lang w:eastAsia="lv-LV"/>
              </w:rPr>
            </w:pPr>
            <w:r w:rsidRPr="00D25AB9">
              <w:rPr>
                <w:rFonts w:ascii="Arial Narrow" w:eastAsia="Times New Roman" w:hAnsi="Arial Narrow" w:cstheme="minorHAnsi"/>
                <w:sz w:val="22"/>
                <w:szCs w:val="22"/>
                <w:lang w:eastAsia="lv-LV"/>
              </w:rPr>
              <w:t>%</w:t>
            </w:r>
          </w:p>
        </w:tc>
      </w:tr>
      <w:tr w:rsidR="00D04156" w:rsidRPr="00D25AB9" w14:paraId="3E3F81C9" w14:textId="77777777" w:rsidTr="00501A62">
        <w:trPr>
          <w:trHeight w:val="315"/>
        </w:trPr>
        <w:tc>
          <w:tcPr>
            <w:tcW w:w="2967" w:type="dxa"/>
            <w:hideMark/>
          </w:tcPr>
          <w:p w14:paraId="6915BC36" w14:textId="10FDB096" w:rsidR="00D04156" w:rsidRPr="00D25AB9" w:rsidRDefault="00D04156" w:rsidP="00DD6EFE">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Ārsti un funkcionālie speciālisti</w:t>
            </w:r>
          </w:p>
        </w:tc>
        <w:tc>
          <w:tcPr>
            <w:tcW w:w="992" w:type="dxa"/>
            <w:noWrap/>
            <w:hideMark/>
          </w:tcPr>
          <w:p w14:paraId="1D3F781C" w14:textId="77777777"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26,0</w:t>
            </w:r>
          </w:p>
          <w:p w14:paraId="01E25A15" w14:textId="7574CF3E" w:rsidR="003F6139" w:rsidRPr="00D25AB9" w:rsidRDefault="003F6139" w:rsidP="00D04156">
            <w:pPr>
              <w:spacing w:before="0"/>
              <w:jc w:val="right"/>
              <w:rPr>
                <w:rFonts w:ascii="Arial Narrow" w:eastAsia="Times New Roman" w:hAnsi="Arial Narrow" w:cstheme="minorHAnsi"/>
                <w:sz w:val="22"/>
                <w:szCs w:val="22"/>
                <w:lang w:eastAsia="lv-LV"/>
              </w:rPr>
            </w:pPr>
          </w:p>
        </w:tc>
        <w:tc>
          <w:tcPr>
            <w:tcW w:w="1134" w:type="dxa"/>
            <w:noWrap/>
            <w:hideMark/>
          </w:tcPr>
          <w:p w14:paraId="63A691C5" w14:textId="5EDC5AE0"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29,0</w:t>
            </w:r>
          </w:p>
        </w:tc>
        <w:tc>
          <w:tcPr>
            <w:tcW w:w="993" w:type="dxa"/>
            <w:noWrap/>
            <w:hideMark/>
          </w:tcPr>
          <w:p w14:paraId="083330FA" w14:textId="474B16BF"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30,0</w:t>
            </w:r>
          </w:p>
        </w:tc>
        <w:tc>
          <w:tcPr>
            <w:tcW w:w="850" w:type="dxa"/>
            <w:noWrap/>
            <w:hideMark/>
          </w:tcPr>
          <w:p w14:paraId="2EEA9B59" w14:textId="3FBC076D"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w:t>
            </w:r>
            <w:r w:rsidR="00501A62" w:rsidRPr="00D25AB9">
              <w:rPr>
                <w:rFonts w:ascii="Arial Narrow" w:eastAsia="Times New Roman" w:hAnsi="Arial Narrow" w:cstheme="minorHAnsi"/>
                <w:sz w:val="22"/>
                <w:szCs w:val="22"/>
                <w:lang w:eastAsia="lv-LV"/>
              </w:rPr>
              <w:t>,0</w:t>
            </w:r>
          </w:p>
        </w:tc>
        <w:tc>
          <w:tcPr>
            <w:tcW w:w="997" w:type="dxa"/>
            <w:noWrap/>
            <w:hideMark/>
          </w:tcPr>
          <w:p w14:paraId="79566578" w14:textId="3349130F" w:rsidR="00D04156" w:rsidRPr="00D25AB9" w:rsidRDefault="003F6139" w:rsidP="00D0415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15,38</w:t>
            </w:r>
            <w:r w:rsidR="00D04156" w:rsidRPr="00D25AB9">
              <w:rPr>
                <w:rFonts w:ascii="Arial Narrow" w:eastAsia="Times New Roman" w:hAnsi="Arial Narrow" w:cstheme="minorHAnsi"/>
                <w:sz w:val="22"/>
                <w:szCs w:val="22"/>
                <w:lang w:eastAsia="lv-LV"/>
              </w:rPr>
              <w:t>%</w:t>
            </w:r>
          </w:p>
        </w:tc>
        <w:tc>
          <w:tcPr>
            <w:tcW w:w="647" w:type="dxa"/>
            <w:noWrap/>
            <w:hideMark/>
          </w:tcPr>
          <w:p w14:paraId="027F9905" w14:textId="0D559ABD"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w:t>
            </w:r>
            <w:r w:rsidR="00D04156" w:rsidRPr="00D25AB9">
              <w:rPr>
                <w:rFonts w:ascii="Arial Narrow" w:eastAsia="Times New Roman" w:hAnsi="Arial Narrow" w:cstheme="minorHAnsi"/>
                <w:sz w:val="22"/>
                <w:szCs w:val="22"/>
                <w:lang w:eastAsia="lv-LV"/>
              </w:rPr>
              <w:t>.0</w:t>
            </w:r>
          </w:p>
        </w:tc>
        <w:tc>
          <w:tcPr>
            <w:tcW w:w="920" w:type="dxa"/>
            <w:noWrap/>
            <w:hideMark/>
          </w:tcPr>
          <w:p w14:paraId="741E01FF" w14:textId="0BE8E5F2" w:rsidR="00D04156" w:rsidRPr="00D25AB9" w:rsidRDefault="003F6139" w:rsidP="00D0415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3,45</w:t>
            </w:r>
            <w:r w:rsidR="00D04156" w:rsidRPr="00D25AB9">
              <w:rPr>
                <w:rFonts w:ascii="Arial Narrow" w:eastAsia="Times New Roman" w:hAnsi="Arial Narrow" w:cstheme="minorHAnsi"/>
                <w:sz w:val="22"/>
                <w:szCs w:val="22"/>
                <w:lang w:eastAsia="lv-LV"/>
              </w:rPr>
              <w:t>%</w:t>
            </w:r>
          </w:p>
        </w:tc>
      </w:tr>
      <w:tr w:rsidR="00D04156" w:rsidRPr="00D25AB9" w14:paraId="7B4727CF" w14:textId="77777777" w:rsidTr="00501A62">
        <w:trPr>
          <w:trHeight w:val="615"/>
        </w:trPr>
        <w:tc>
          <w:tcPr>
            <w:tcW w:w="2967" w:type="dxa"/>
            <w:hideMark/>
          </w:tcPr>
          <w:p w14:paraId="2562C706" w14:textId="26EF83F2" w:rsidR="00D04156" w:rsidRPr="00D25AB9" w:rsidRDefault="00D04156" w:rsidP="00DD6EFE">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Ārstniecības un pacientu aprūpes personāls</w:t>
            </w:r>
          </w:p>
        </w:tc>
        <w:tc>
          <w:tcPr>
            <w:tcW w:w="992" w:type="dxa"/>
            <w:noWrap/>
            <w:hideMark/>
          </w:tcPr>
          <w:p w14:paraId="597A0433" w14:textId="1FE0B0E1" w:rsidR="00D04156" w:rsidRPr="00D25AB9" w:rsidRDefault="003F6139" w:rsidP="007A244D">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45,0</w:t>
            </w:r>
          </w:p>
        </w:tc>
        <w:tc>
          <w:tcPr>
            <w:tcW w:w="1134" w:type="dxa"/>
            <w:noWrap/>
            <w:hideMark/>
          </w:tcPr>
          <w:p w14:paraId="38FFFC42" w14:textId="74437638" w:rsidR="00D04156" w:rsidRPr="00D25AB9" w:rsidRDefault="00501A62" w:rsidP="003F613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w:t>
            </w:r>
            <w:r w:rsidR="003F6139" w:rsidRPr="00D25AB9">
              <w:rPr>
                <w:rFonts w:ascii="Arial Narrow" w:eastAsia="Times New Roman" w:hAnsi="Arial Narrow" w:cstheme="minorHAnsi"/>
                <w:sz w:val="22"/>
                <w:szCs w:val="22"/>
                <w:lang w:eastAsia="lv-LV"/>
              </w:rPr>
              <w:t>7,0</w:t>
            </w:r>
          </w:p>
        </w:tc>
        <w:tc>
          <w:tcPr>
            <w:tcW w:w="993" w:type="dxa"/>
            <w:noWrap/>
            <w:hideMark/>
          </w:tcPr>
          <w:p w14:paraId="4F7D40C0" w14:textId="272304E0" w:rsidR="00D04156" w:rsidRPr="00D25AB9" w:rsidRDefault="007A244D"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57</w:t>
            </w:r>
            <w:r w:rsidR="00D04156" w:rsidRPr="00D25AB9">
              <w:rPr>
                <w:rFonts w:ascii="Arial Narrow" w:eastAsia="Times New Roman" w:hAnsi="Arial Narrow" w:cstheme="minorHAnsi"/>
                <w:sz w:val="22"/>
                <w:szCs w:val="22"/>
                <w:lang w:eastAsia="lv-LV"/>
              </w:rPr>
              <w:t>.0</w:t>
            </w:r>
          </w:p>
        </w:tc>
        <w:tc>
          <w:tcPr>
            <w:tcW w:w="850" w:type="dxa"/>
            <w:noWrap/>
            <w:hideMark/>
          </w:tcPr>
          <w:p w14:paraId="1329D840" w14:textId="5C702406" w:rsidR="00D04156" w:rsidRPr="00D25AB9" w:rsidRDefault="00501A62" w:rsidP="003F613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w:t>
            </w:r>
            <w:r w:rsidR="003F6139" w:rsidRPr="00D25AB9">
              <w:rPr>
                <w:rFonts w:ascii="Arial Narrow" w:eastAsia="Times New Roman" w:hAnsi="Arial Narrow" w:cstheme="minorHAnsi"/>
                <w:sz w:val="22"/>
                <w:szCs w:val="22"/>
                <w:lang w:eastAsia="lv-LV"/>
              </w:rPr>
              <w:t>2</w:t>
            </w:r>
            <w:r w:rsidRPr="00D25AB9">
              <w:rPr>
                <w:rFonts w:ascii="Arial Narrow" w:eastAsia="Times New Roman" w:hAnsi="Arial Narrow" w:cstheme="minorHAnsi"/>
                <w:sz w:val="22"/>
                <w:szCs w:val="22"/>
                <w:lang w:eastAsia="lv-LV"/>
              </w:rPr>
              <w:t>,0</w:t>
            </w:r>
          </w:p>
        </w:tc>
        <w:tc>
          <w:tcPr>
            <w:tcW w:w="997" w:type="dxa"/>
            <w:noWrap/>
            <w:hideMark/>
          </w:tcPr>
          <w:p w14:paraId="4759C233" w14:textId="7A35F34F" w:rsidR="00D04156" w:rsidRPr="00D25AB9" w:rsidRDefault="003F6139" w:rsidP="00501A62">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26,67</w:t>
            </w:r>
            <w:r w:rsidR="00D04156" w:rsidRPr="00D25AB9">
              <w:rPr>
                <w:rFonts w:ascii="Arial Narrow" w:eastAsia="Times New Roman" w:hAnsi="Arial Narrow" w:cstheme="minorHAnsi"/>
                <w:sz w:val="22"/>
                <w:szCs w:val="22"/>
                <w:lang w:eastAsia="lv-LV"/>
              </w:rPr>
              <w:t>%</w:t>
            </w:r>
          </w:p>
        </w:tc>
        <w:tc>
          <w:tcPr>
            <w:tcW w:w="647" w:type="dxa"/>
            <w:noWrap/>
            <w:hideMark/>
          </w:tcPr>
          <w:p w14:paraId="597C0C25" w14:textId="419D1A35" w:rsidR="00D04156" w:rsidRPr="00D25AB9" w:rsidRDefault="00501A62"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0</w:t>
            </w:r>
          </w:p>
        </w:tc>
        <w:tc>
          <w:tcPr>
            <w:tcW w:w="920" w:type="dxa"/>
            <w:noWrap/>
            <w:hideMark/>
          </w:tcPr>
          <w:p w14:paraId="06EADDAF" w14:textId="66683DE3" w:rsidR="00D04156" w:rsidRPr="00D25AB9" w:rsidRDefault="00501A62" w:rsidP="00D0415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0,00</w:t>
            </w:r>
            <w:r w:rsidR="00D04156" w:rsidRPr="00D25AB9">
              <w:rPr>
                <w:rFonts w:ascii="Arial Narrow" w:eastAsia="Times New Roman" w:hAnsi="Arial Narrow" w:cstheme="minorHAnsi"/>
                <w:sz w:val="22"/>
                <w:szCs w:val="22"/>
                <w:lang w:eastAsia="lv-LV"/>
              </w:rPr>
              <w:t>%</w:t>
            </w:r>
          </w:p>
        </w:tc>
      </w:tr>
      <w:tr w:rsidR="00D04156" w:rsidRPr="00D25AB9" w14:paraId="27F7F75E" w14:textId="77777777" w:rsidTr="00501A62">
        <w:trPr>
          <w:trHeight w:val="615"/>
        </w:trPr>
        <w:tc>
          <w:tcPr>
            <w:tcW w:w="2967" w:type="dxa"/>
            <w:hideMark/>
          </w:tcPr>
          <w:p w14:paraId="73CF3AF7" w14:textId="77777777" w:rsidR="00D04156" w:rsidRPr="00D25AB9" w:rsidRDefault="00D04156" w:rsidP="00DD6EFE">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Ārstniecības un pacientu aprūpes atbalsta personāls</w:t>
            </w:r>
          </w:p>
        </w:tc>
        <w:tc>
          <w:tcPr>
            <w:tcW w:w="992" w:type="dxa"/>
            <w:noWrap/>
            <w:hideMark/>
          </w:tcPr>
          <w:p w14:paraId="385D1310" w14:textId="77777777"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43,0</w:t>
            </w:r>
          </w:p>
          <w:p w14:paraId="7015FEDA" w14:textId="40C09D3D" w:rsidR="003F6139" w:rsidRPr="00D25AB9" w:rsidRDefault="003F6139" w:rsidP="00D04156">
            <w:pPr>
              <w:spacing w:before="0"/>
              <w:jc w:val="right"/>
              <w:rPr>
                <w:rFonts w:ascii="Arial Narrow" w:eastAsia="Times New Roman" w:hAnsi="Arial Narrow" w:cstheme="minorHAnsi"/>
                <w:sz w:val="22"/>
                <w:szCs w:val="22"/>
                <w:lang w:eastAsia="lv-LV"/>
              </w:rPr>
            </w:pPr>
          </w:p>
        </w:tc>
        <w:tc>
          <w:tcPr>
            <w:tcW w:w="1134" w:type="dxa"/>
            <w:noWrap/>
            <w:hideMark/>
          </w:tcPr>
          <w:p w14:paraId="16DEEB68" w14:textId="53A5C932" w:rsidR="00D04156" w:rsidRPr="00D25AB9" w:rsidRDefault="003F6139" w:rsidP="00501A62">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47,0</w:t>
            </w:r>
          </w:p>
        </w:tc>
        <w:tc>
          <w:tcPr>
            <w:tcW w:w="993" w:type="dxa"/>
            <w:noWrap/>
            <w:hideMark/>
          </w:tcPr>
          <w:p w14:paraId="00F9B227" w14:textId="45F3522F" w:rsidR="00D04156" w:rsidRPr="00D25AB9" w:rsidRDefault="007A244D"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46</w:t>
            </w:r>
            <w:r w:rsidR="00D04156" w:rsidRPr="00D25AB9">
              <w:rPr>
                <w:rFonts w:ascii="Arial Narrow" w:eastAsia="Times New Roman" w:hAnsi="Arial Narrow" w:cstheme="minorHAnsi"/>
                <w:sz w:val="22"/>
                <w:szCs w:val="22"/>
                <w:lang w:eastAsia="lv-LV"/>
              </w:rPr>
              <w:t>.0</w:t>
            </w:r>
          </w:p>
        </w:tc>
        <w:tc>
          <w:tcPr>
            <w:tcW w:w="850" w:type="dxa"/>
            <w:noWrap/>
            <w:hideMark/>
          </w:tcPr>
          <w:p w14:paraId="06342C95" w14:textId="427A9F9C"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3,0</w:t>
            </w:r>
          </w:p>
        </w:tc>
        <w:tc>
          <w:tcPr>
            <w:tcW w:w="997" w:type="dxa"/>
            <w:noWrap/>
            <w:hideMark/>
          </w:tcPr>
          <w:p w14:paraId="1A9EFC44" w14:textId="3C48019B" w:rsidR="00D04156" w:rsidRPr="00D25AB9" w:rsidRDefault="00501A62" w:rsidP="00D0415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6,98</w:t>
            </w:r>
            <w:r w:rsidR="00D04156" w:rsidRPr="00D25AB9">
              <w:rPr>
                <w:rFonts w:ascii="Arial Narrow" w:eastAsia="Times New Roman" w:hAnsi="Arial Narrow" w:cstheme="minorHAnsi"/>
                <w:sz w:val="22"/>
                <w:szCs w:val="22"/>
                <w:lang w:eastAsia="lv-LV"/>
              </w:rPr>
              <w:t>%</w:t>
            </w:r>
          </w:p>
        </w:tc>
        <w:tc>
          <w:tcPr>
            <w:tcW w:w="647" w:type="dxa"/>
            <w:noWrap/>
            <w:hideMark/>
          </w:tcPr>
          <w:p w14:paraId="60407B26" w14:textId="4C3122E2" w:rsidR="00D04156" w:rsidRPr="00D25AB9" w:rsidRDefault="00501A62" w:rsidP="00501A62">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-1,0</w:t>
            </w:r>
          </w:p>
        </w:tc>
        <w:tc>
          <w:tcPr>
            <w:tcW w:w="920" w:type="dxa"/>
            <w:noWrap/>
            <w:hideMark/>
          </w:tcPr>
          <w:p w14:paraId="24C15574" w14:textId="11DBB09C" w:rsidR="00D04156" w:rsidRPr="00D25AB9" w:rsidRDefault="00501A62" w:rsidP="00D0415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-2,13</w:t>
            </w:r>
            <w:r w:rsidR="00D04156" w:rsidRPr="00D25AB9">
              <w:rPr>
                <w:rFonts w:ascii="Arial Narrow" w:eastAsia="Times New Roman" w:hAnsi="Arial Narrow" w:cstheme="minorHAnsi"/>
                <w:sz w:val="22"/>
                <w:szCs w:val="22"/>
                <w:lang w:eastAsia="lv-LV"/>
              </w:rPr>
              <w:t>%</w:t>
            </w:r>
          </w:p>
        </w:tc>
      </w:tr>
      <w:tr w:rsidR="00D04156" w:rsidRPr="00D25AB9" w14:paraId="0B944CBD" w14:textId="77777777" w:rsidTr="00501A62">
        <w:trPr>
          <w:trHeight w:val="315"/>
        </w:trPr>
        <w:tc>
          <w:tcPr>
            <w:tcW w:w="2967" w:type="dxa"/>
            <w:hideMark/>
          </w:tcPr>
          <w:p w14:paraId="6ED99BC6" w14:textId="65B127D9" w:rsidR="00D04156" w:rsidRPr="00D25AB9" w:rsidRDefault="00D04156" w:rsidP="00DD6EFE">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Administrācija</w:t>
            </w:r>
          </w:p>
        </w:tc>
        <w:tc>
          <w:tcPr>
            <w:tcW w:w="992" w:type="dxa"/>
            <w:noWrap/>
            <w:hideMark/>
          </w:tcPr>
          <w:p w14:paraId="2D39F7D6" w14:textId="17BB23D4" w:rsidR="00D04156" w:rsidRPr="00D25AB9" w:rsidRDefault="003F6139" w:rsidP="007A244D">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9</w:t>
            </w:r>
          </w:p>
        </w:tc>
        <w:tc>
          <w:tcPr>
            <w:tcW w:w="1134" w:type="dxa"/>
            <w:noWrap/>
            <w:hideMark/>
          </w:tcPr>
          <w:p w14:paraId="23E59ECA" w14:textId="68403602"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9,0</w:t>
            </w:r>
          </w:p>
        </w:tc>
        <w:tc>
          <w:tcPr>
            <w:tcW w:w="993" w:type="dxa"/>
            <w:noWrap/>
            <w:hideMark/>
          </w:tcPr>
          <w:p w14:paraId="3B098140" w14:textId="0AE818BE"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10,0</w:t>
            </w:r>
          </w:p>
        </w:tc>
        <w:tc>
          <w:tcPr>
            <w:tcW w:w="850" w:type="dxa"/>
            <w:noWrap/>
            <w:hideMark/>
          </w:tcPr>
          <w:p w14:paraId="76B0543B" w14:textId="06F6D22D" w:rsidR="00D04156" w:rsidRPr="00D25AB9" w:rsidRDefault="00501A62"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1,00</w:t>
            </w:r>
          </w:p>
        </w:tc>
        <w:tc>
          <w:tcPr>
            <w:tcW w:w="997" w:type="dxa"/>
            <w:noWrap/>
            <w:hideMark/>
          </w:tcPr>
          <w:p w14:paraId="659C4F6C" w14:textId="2DD10A15" w:rsidR="00D04156" w:rsidRPr="00D25AB9" w:rsidRDefault="003F6139" w:rsidP="00501A62">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11,11</w:t>
            </w:r>
            <w:r w:rsidR="00D04156" w:rsidRPr="00D25AB9">
              <w:rPr>
                <w:rFonts w:ascii="Arial Narrow" w:eastAsia="Times New Roman" w:hAnsi="Arial Narrow" w:cstheme="minorHAnsi"/>
                <w:sz w:val="22"/>
                <w:szCs w:val="22"/>
                <w:lang w:eastAsia="lv-LV"/>
              </w:rPr>
              <w:t>%</w:t>
            </w:r>
          </w:p>
        </w:tc>
        <w:tc>
          <w:tcPr>
            <w:tcW w:w="647" w:type="dxa"/>
            <w:noWrap/>
            <w:hideMark/>
          </w:tcPr>
          <w:p w14:paraId="389FC2F8" w14:textId="4355028F" w:rsidR="00D04156" w:rsidRPr="00D25AB9" w:rsidRDefault="003F6139" w:rsidP="003F613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1,0</w:t>
            </w:r>
          </w:p>
        </w:tc>
        <w:tc>
          <w:tcPr>
            <w:tcW w:w="920" w:type="dxa"/>
            <w:noWrap/>
            <w:hideMark/>
          </w:tcPr>
          <w:p w14:paraId="64076AAD" w14:textId="4E5DD8C0" w:rsidR="00D04156" w:rsidRPr="00D25AB9" w:rsidRDefault="003F6139" w:rsidP="00D0415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11,11</w:t>
            </w:r>
            <w:r w:rsidR="00D04156" w:rsidRPr="00D25AB9">
              <w:rPr>
                <w:rFonts w:ascii="Arial Narrow" w:eastAsia="Times New Roman" w:hAnsi="Arial Narrow" w:cstheme="minorHAnsi"/>
                <w:sz w:val="22"/>
                <w:szCs w:val="22"/>
                <w:lang w:eastAsia="lv-LV"/>
              </w:rPr>
              <w:t>%</w:t>
            </w:r>
          </w:p>
        </w:tc>
      </w:tr>
      <w:tr w:rsidR="00D04156" w:rsidRPr="00D25AB9" w14:paraId="449B745C" w14:textId="77777777" w:rsidTr="00501A62">
        <w:trPr>
          <w:trHeight w:val="615"/>
        </w:trPr>
        <w:tc>
          <w:tcPr>
            <w:tcW w:w="2967" w:type="dxa"/>
            <w:hideMark/>
          </w:tcPr>
          <w:p w14:paraId="535092A0" w14:textId="0A50F9B6" w:rsidR="00D04156" w:rsidRPr="00D25AB9" w:rsidRDefault="00D04156" w:rsidP="00DD6EFE">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Pārējais personāls (t.sk. sanitāri)</w:t>
            </w:r>
          </w:p>
        </w:tc>
        <w:tc>
          <w:tcPr>
            <w:tcW w:w="992" w:type="dxa"/>
            <w:noWrap/>
            <w:hideMark/>
          </w:tcPr>
          <w:p w14:paraId="5515E528" w14:textId="5276F744"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52,</w:t>
            </w:r>
            <w:r w:rsidR="00501A62" w:rsidRPr="00D25AB9">
              <w:rPr>
                <w:rFonts w:ascii="Arial Narrow" w:eastAsia="Times New Roman" w:hAnsi="Arial Narrow" w:cstheme="minorHAnsi"/>
                <w:sz w:val="22"/>
                <w:szCs w:val="22"/>
                <w:lang w:eastAsia="lv-LV"/>
              </w:rPr>
              <w:t>0</w:t>
            </w:r>
          </w:p>
        </w:tc>
        <w:tc>
          <w:tcPr>
            <w:tcW w:w="1134" w:type="dxa"/>
            <w:noWrap/>
            <w:hideMark/>
          </w:tcPr>
          <w:p w14:paraId="440511FD" w14:textId="3F8B02B5"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57,0</w:t>
            </w:r>
          </w:p>
        </w:tc>
        <w:tc>
          <w:tcPr>
            <w:tcW w:w="993" w:type="dxa"/>
            <w:noWrap/>
            <w:hideMark/>
          </w:tcPr>
          <w:p w14:paraId="118FE450" w14:textId="6E5247FB" w:rsidR="00D04156" w:rsidRPr="00D25AB9" w:rsidRDefault="003F6139" w:rsidP="00501A62">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55,0</w:t>
            </w:r>
          </w:p>
        </w:tc>
        <w:tc>
          <w:tcPr>
            <w:tcW w:w="850" w:type="dxa"/>
            <w:noWrap/>
            <w:hideMark/>
          </w:tcPr>
          <w:p w14:paraId="58369CE4" w14:textId="35176350" w:rsidR="00D04156" w:rsidRPr="00D25AB9" w:rsidRDefault="00501A62"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3,0</w:t>
            </w:r>
          </w:p>
        </w:tc>
        <w:tc>
          <w:tcPr>
            <w:tcW w:w="997" w:type="dxa"/>
            <w:noWrap/>
            <w:hideMark/>
          </w:tcPr>
          <w:p w14:paraId="422DA9C6" w14:textId="4BB8ABB6" w:rsidR="00D04156" w:rsidRPr="00D25AB9" w:rsidRDefault="003F6139" w:rsidP="003F6139">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5,77</w:t>
            </w:r>
            <w:r w:rsidR="00D04156" w:rsidRPr="00D25AB9">
              <w:rPr>
                <w:rFonts w:ascii="Arial Narrow" w:eastAsia="Times New Roman" w:hAnsi="Arial Narrow" w:cstheme="minorHAnsi"/>
                <w:sz w:val="22"/>
                <w:szCs w:val="22"/>
                <w:lang w:eastAsia="lv-LV"/>
              </w:rPr>
              <w:t>%</w:t>
            </w:r>
          </w:p>
        </w:tc>
        <w:tc>
          <w:tcPr>
            <w:tcW w:w="647" w:type="dxa"/>
            <w:noWrap/>
            <w:hideMark/>
          </w:tcPr>
          <w:p w14:paraId="6CD6EDB0" w14:textId="72736DCF" w:rsidR="00D04156" w:rsidRPr="00D25AB9" w:rsidRDefault="003F6139" w:rsidP="003F613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-2,0</w:t>
            </w:r>
          </w:p>
        </w:tc>
        <w:tc>
          <w:tcPr>
            <w:tcW w:w="920" w:type="dxa"/>
            <w:noWrap/>
            <w:hideMark/>
          </w:tcPr>
          <w:p w14:paraId="0C697433" w14:textId="05750680" w:rsidR="00D04156" w:rsidRPr="00D25AB9" w:rsidRDefault="00D04156" w:rsidP="003F6139">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r w:rsidR="003F6139" w:rsidRPr="00D25AB9">
              <w:rPr>
                <w:rFonts w:ascii="Arial Narrow" w:eastAsia="Times New Roman" w:hAnsi="Arial Narrow" w:cstheme="minorHAnsi"/>
                <w:sz w:val="22"/>
                <w:szCs w:val="22"/>
                <w:lang w:eastAsia="lv-LV"/>
              </w:rPr>
              <w:t>3,51%</w:t>
            </w:r>
          </w:p>
        </w:tc>
      </w:tr>
      <w:tr w:rsidR="00D04156" w:rsidRPr="00D25AB9" w14:paraId="43E200AC" w14:textId="77777777" w:rsidTr="00501A62">
        <w:trPr>
          <w:cnfStyle w:val="010000000000" w:firstRow="0" w:lastRow="1" w:firstColumn="0" w:lastColumn="0" w:oddVBand="0" w:evenVBand="0" w:oddHBand="0" w:evenHBand="0" w:firstRowFirstColumn="0" w:firstRowLastColumn="0" w:lastRowFirstColumn="0" w:lastRowLastColumn="0"/>
          <w:trHeight w:val="315"/>
        </w:trPr>
        <w:tc>
          <w:tcPr>
            <w:tcW w:w="2967" w:type="dxa"/>
            <w:hideMark/>
          </w:tcPr>
          <w:p w14:paraId="1ACBD13B" w14:textId="77777777" w:rsidR="00D04156" w:rsidRPr="00D25AB9" w:rsidRDefault="00D04156" w:rsidP="00D04156">
            <w:pPr>
              <w:spacing w:before="0"/>
              <w:jc w:val="lef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KOPĀ</w:t>
            </w:r>
          </w:p>
        </w:tc>
        <w:tc>
          <w:tcPr>
            <w:tcW w:w="992" w:type="dxa"/>
            <w:noWrap/>
            <w:hideMark/>
          </w:tcPr>
          <w:p w14:paraId="182675D0" w14:textId="4C631979" w:rsidR="00D04156" w:rsidRPr="00D25AB9" w:rsidRDefault="00D04156" w:rsidP="003F613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w:t>
            </w:r>
            <w:r w:rsidR="003F6139" w:rsidRPr="00D25AB9">
              <w:rPr>
                <w:rFonts w:ascii="Arial Narrow" w:eastAsia="Times New Roman" w:hAnsi="Arial Narrow" w:cstheme="minorHAnsi"/>
                <w:sz w:val="22"/>
                <w:szCs w:val="22"/>
                <w:lang w:eastAsia="lv-LV"/>
              </w:rPr>
              <w:t>75</w:t>
            </w:r>
          </w:p>
        </w:tc>
        <w:tc>
          <w:tcPr>
            <w:tcW w:w="1134" w:type="dxa"/>
            <w:noWrap/>
            <w:hideMark/>
          </w:tcPr>
          <w:p w14:paraId="16827AF1" w14:textId="669D28FF" w:rsidR="00D04156" w:rsidRPr="00D25AB9" w:rsidRDefault="00501A62"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199</w:t>
            </w:r>
          </w:p>
        </w:tc>
        <w:tc>
          <w:tcPr>
            <w:tcW w:w="993" w:type="dxa"/>
            <w:noWrap/>
            <w:hideMark/>
          </w:tcPr>
          <w:p w14:paraId="26B322E1" w14:textId="55D16FB6" w:rsidR="00D04156" w:rsidRPr="00D25AB9" w:rsidRDefault="00501A62" w:rsidP="003F6139">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19</w:t>
            </w:r>
            <w:r w:rsidR="003F6139" w:rsidRPr="00D25AB9">
              <w:rPr>
                <w:rFonts w:ascii="Arial Narrow" w:eastAsia="Times New Roman" w:hAnsi="Arial Narrow" w:cstheme="minorHAnsi"/>
                <w:sz w:val="22"/>
                <w:szCs w:val="22"/>
                <w:lang w:eastAsia="lv-LV"/>
              </w:rPr>
              <w:t>8</w:t>
            </w:r>
          </w:p>
        </w:tc>
        <w:tc>
          <w:tcPr>
            <w:tcW w:w="850" w:type="dxa"/>
            <w:noWrap/>
            <w:hideMark/>
          </w:tcPr>
          <w:p w14:paraId="414DD579" w14:textId="3EEC6BD1" w:rsidR="00D04156" w:rsidRPr="00D25AB9" w:rsidRDefault="003F6139" w:rsidP="00501A62">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23</w:t>
            </w:r>
          </w:p>
        </w:tc>
        <w:tc>
          <w:tcPr>
            <w:tcW w:w="997" w:type="dxa"/>
            <w:noWrap/>
            <w:hideMark/>
          </w:tcPr>
          <w:p w14:paraId="62036496" w14:textId="3087E7DB" w:rsidR="00D04156" w:rsidRPr="00D25AB9" w:rsidRDefault="003F6139" w:rsidP="00D0415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13,14</w:t>
            </w:r>
            <w:r w:rsidR="00D04156" w:rsidRPr="00D25AB9">
              <w:rPr>
                <w:rFonts w:ascii="Arial Narrow" w:eastAsia="Times New Roman" w:hAnsi="Arial Narrow" w:cstheme="minorHAnsi"/>
                <w:sz w:val="22"/>
                <w:szCs w:val="22"/>
                <w:lang w:eastAsia="lv-LV"/>
              </w:rPr>
              <w:t>%</w:t>
            </w:r>
          </w:p>
        </w:tc>
        <w:tc>
          <w:tcPr>
            <w:tcW w:w="647" w:type="dxa"/>
            <w:noWrap/>
            <w:hideMark/>
          </w:tcPr>
          <w:p w14:paraId="3736C255" w14:textId="456DEFCA" w:rsidR="00D04156" w:rsidRPr="00D25AB9" w:rsidRDefault="003F6139" w:rsidP="00D04156">
            <w:pPr>
              <w:spacing w:before="0"/>
              <w:jc w:val="right"/>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w:t>
            </w:r>
          </w:p>
        </w:tc>
        <w:tc>
          <w:tcPr>
            <w:tcW w:w="920" w:type="dxa"/>
            <w:noWrap/>
            <w:hideMark/>
          </w:tcPr>
          <w:p w14:paraId="4ACA09AD" w14:textId="5561ADB8" w:rsidR="00D04156" w:rsidRPr="00D25AB9" w:rsidRDefault="003F6139" w:rsidP="00D04156">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-0,50</w:t>
            </w:r>
            <w:r w:rsidR="00D04156" w:rsidRPr="00D25AB9">
              <w:rPr>
                <w:rFonts w:ascii="Arial Narrow" w:eastAsia="Times New Roman" w:hAnsi="Arial Narrow" w:cstheme="minorHAnsi"/>
                <w:sz w:val="22"/>
                <w:szCs w:val="22"/>
                <w:lang w:eastAsia="lv-LV"/>
              </w:rPr>
              <w:t>%</w:t>
            </w:r>
          </w:p>
        </w:tc>
      </w:tr>
    </w:tbl>
    <w:p w14:paraId="68400A97" w14:textId="34CAE1DA" w:rsidR="00C912BF" w:rsidRPr="00D25AB9" w:rsidRDefault="00C912BF" w:rsidP="00131E43">
      <w:pPr>
        <w:rPr>
          <w:rFonts w:ascii="Arial Narrow" w:hAnsi="Arial Narrow" w:cstheme="minorHAnsi"/>
        </w:rPr>
      </w:pPr>
      <w:r w:rsidRPr="00D25AB9">
        <w:rPr>
          <w:rFonts w:ascii="Arial Narrow" w:hAnsi="Arial Narrow" w:cstheme="minorHAnsi"/>
        </w:rPr>
        <w:t>202</w:t>
      </w:r>
      <w:r w:rsidR="007A244D" w:rsidRPr="00D25AB9">
        <w:rPr>
          <w:rFonts w:ascii="Arial Narrow" w:hAnsi="Arial Narrow" w:cstheme="minorHAnsi"/>
        </w:rPr>
        <w:t>5</w:t>
      </w:r>
      <w:r w:rsidRPr="00D25AB9">
        <w:rPr>
          <w:rFonts w:ascii="Arial Narrow" w:hAnsi="Arial Narrow" w:cstheme="minorHAnsi"/>
        </w:rPr>
        <w:t xml:space="preserve">.gada </w:t>
      </w:r>
      <w:r w:rsidR="003F6139" w:rsidRPr="00D25AB9">
        <w:rPr>
          <w:rFonts w:ascii="Arial Narrow" w:hAnsi="Arial Narrow" w:cstheme="minorHAnsi"/>
        </w:rPr>
        <w:t xml:space="preserve">6 </w:t>
      </w:r>
      <w:r w:rsidRPr="00D25AB9">
        <w:rPr>
          <w:rFonts w:ascii="Arial Narrow" w:hAnsi="Arial Narrow" w:cstheme="minorHAnsi"/>
        </w:rPr>
        <w:t>mēnešos Slimnīc</w:t>
      </w:r>
      <w:r w:rsidR="00E7197A" w:rsidRPr="00D25AB9">
        <w:rPr>
          <w:rFonts w:ascii="Arial Narrow" w:hAnsi="Arial Narrow" w:cstheme="minorHAnsi"/>
        </w:rPr>
        <w:t>ā</w:t>
      </w:r>
      <w:r w:rsidRPr="00D25AB9">
        <w:rPr>
          <w:rFonts w:ascii="Arial Narrow" w:hAnsi="Arial Narrow" w:cstheme="minorHAnsi"/>
        </w:rPr>
        <w:t xml:space="preserve"> vidēji ir nodarbināti </w:t>
      </w:r>
      <w:r w:rsidRPr="00D25AB9">
        <w:rPr>
          <w:rFonts w:ascii="Arial Narrow" w:hAnsi="Arial Narrow" w:cstheme="minorHAnsi"/>
          <w:b/>
        </w:rPr>
        <w:t>1</w:t>
      </w:r>
      <w:r w:rsidR="003C552F" w:rsidRPr="00D25AB9">
        <w:rPr>
          <w:rFonts w:ascii="Arial Narrow" w:hAnsi="Arial Narrow" w:cstheme="minorHAnsi"/>
          <w:b/>
        </w:rPr>
        <w:t>9</w:t>
      </w:r>
      <w:r w:rsidR="003F6139" w:rsidRPr="00D25AB9">
        <w:rPr>
          <w:rFonts w:ascii="Arial Narrow" w:hAnsi="Arial Narrow" w:cstheme="minorHAnsi"/>
          <w:b/>
        </w:rPr>
        <w:t>8</w:t>
      </w:r>
      <w:r w:rsidRPr="00D25AB9">
        <w:rPr>
          <w:rFonts w:ascii="Arial Narrow" w:hAnsi="Arial Narrow" w:cstheme="minorHAnsi"/>
        </w:rPr>
        <w:t xml:space="preserve"> darbinieki, tai skaitā:</w:t>
      </w:r>
    </w:p>
    <w:p w14:paraId="41BA9C7C" w14:textId="396CD876" w:rsidR="00D04156" w:rsidRPr="00D25AB9" w:rsidRDefault="00D04156" w:rsidP="00131E43">
      <w:pPr>
        <w:pStyle w:val="ListParagraph"/>
        <w:numPr>
          <w:ilvl w:val="0"/>
          <w:numId w:val="2"/>
        </w:numPr>
        <w:rPr>
          <w:rFonts w:ascii="Arial Narrow" w:hAnsi="Arial Narrow" w:cstheme="minorHAnsi"/>
        </w:rPr>
      </w:pPr>
      <w:r w:rsidRPr="00D25AB9">
        <w:rPr>
          <w:rFonts w:ascii="Arial Narrow" w:hAnsi="Arial Narrow" w:cstheme="minorHAnsi"/>
        </w:rPr>
        <w:t>Ārsti un funkcionālie speciālisti:</w:t>
      </w:r>
    </w:p>
    <w:p w14:paraId="7BE33318" w14:textId="40321F41" w:rsidR="00C912BF" w:rsidRPr="00D25AB9" w:rsidRDefault="00C912BF" w:rsidP="00D04156">
      <w:pPr>
        <w:pStyle w:val="ListParagraph"/>
        <w:numPr>
          <w:ilvl w:val="1"/>
          <w:numId w:val="2"/>
        </w:numPr>
        <w:rPr>
          <w:rFonts w:ascii="Arial Narrow" w:hAnsi="Arial Narrow" w:cstheme="minorHAnsi"/>
        </w:rPr>
      </w:pPr>
      <w:r w:rsidRPr="00D25AB9">
        <w:rPr>
          <w:rFonts w:ascii="Arial Narrow" w:hAnsi="Arial Narrow" w:cstheme="minorHAnsi"/>
        </w:rPr>
        <w:t>1</w:t>
      </w:r>
      <w:r w:rsidR="003C552F" w:rsidRPr="00D25AB9">
        <w:rPr>
          <w:rFonts w:ascii="Arial Narrow" w:hAnsi="Arial Narrow" w:cstheme="minorHAnsi"/>
        </w:rPr>
        <w:t>5</w:t>
      </w:r>
      <w:r w:rsidRPr="00D25AB9">
        <w:rPr>
          <w:rFonts w:ascii="Arial Narrow" w:hAnsi="Arial Narrow" w:cstheme="minorHAnsi"/>
        </w:rPr>
        <w:t xml:space="preserve"> ārsti;</w:t>
      </w:r>
    </w:p>
    <w:p w14:paraId="5D7295E3" w14:textId="7B6D6170" w:rsidR="003F6139" w:rsidRPr="00D25AB9" w:rsidRDefault="003F6139" w:rsidP="00D04156">
      <w:pPr>
        <w:pStyle w:val="ListParagraph"/>
        <w:numPr>
          <w:ilvl w:val="1"/>
          <w:numId w:val="2"/>
        </w:numPr>
        <w:rPr>
          <w:rFonts w:ascii="Arial Narrow" w:hAnsi="Arial Narrow" w:cstheme="minorHAnsi"/>
        </w:rPr>
      </w:pPr>
      <w:r w:rsidRPr="00D25AB9">
        <w:rPr>
          <w:rFonts w:ascii="Arial Narrow" w:hAnsi="Arial Narrow" w:cstheme="minorHAnsi"/>
        </w:rPr>
        <w:t>1 rezidents bērnu ps</w:t>
      </w:r>
      <w:r w:rsidR="00F24040" w:rsidRPr="00D25AB9">
        <w:rPr>
          <w:rFonts w:ascii="Arial Narrow" w:hAnsi="Arial Narrow" w:cstheme="minorHAnsi"/>
        </w:rPr>
        <w:t>i</w:t>
      </w:r>
      <w:r w:rsidRPr="00D25AB9">
        <w:rPr>
          <w:rFonts w:ascii="Arial Narrow" w:hAnsi="Arial Narrow" w:cstheme="minorHAnsi"/>
        </w:rPr>
        <w:t>hiatrijā;</w:t>
      </w:r>
    </w:p>
    <w:p w14:paraId="562C23AB" w14:textId="74687A85" w:rsidR="00C912BF" w:rsidRPr="00D25AB9" w:rsidRDefault="69630B24" w:rsidP="00D04156">
      <w:pPr>
        <w:pStyle w:val="ListParagraph"/>
        <w:numPr>
          <w:ilvl w:val="1"/>
          <w:numId w:val="2"/>
        </w:numPr>
        <w:rPr>
          <w:rFonts w:ascii="Arial Narrow" w:hAnsi="Arial Narrow" w:cstheme="minorHAnsi"/>
        </w:rPr>
      </w:pPr>
      <w:r w:rsidRPr="00D25AB9">
        <w:rPr>
          <w:rFonts w:ascii="Arial Narrow" w:hAnsi="Arial Narrow" w:cstheme="minorHAnsi"/>
        </w:rPr>
        <w:t>14 funkcionālie speciālisti (</w:t>
      </w:r>
      <w:r w:rsidR="003F6139" w:rsidRPr="00D25AB9">
        <w:rPr>
          <w:rFonts w:ascii="Arial Narrow" w:hAnsi="Arial Narrow" w:cstheme="minorHAnsi"/>
        </w:rPr>
        <w:t>4</w:t>
      </w:r>
      <w:r w:rsidRPr="00D25AB9">
        <w:rPr>
          <w:rFonts w:ascii="Arial Narrow" w:hAnsi="Arial Narrow" w:cstheme="minorHAnsi"/>
        </w:rPr>
        <w:t xml:space="preserve"> </w:t>
      </w:r>
      <w:proofErr w:type="spellStart"/>
      <w:r w:rsidRPr="00D25AB9">
        <w:rPr>
          <w:rFonts w:ascii="Arial Narrow" w:hAnsi="Arial Narrow" w:cstheme="minorHAnsi"/>
        </w:rPr>
        <w:t>ergoterapeiti</w:t>
      </w:r>
      <w:proofErr w:type="spellEnd"/>
      <w:r w:rsidRPr="00D25AB9">
        <w:rPr>
          <w:rFonts w:ascii="Arial Narrow" w:hAnsi="Arial Narrow" w:cstheme="minorHAnsi"/>
        </w:rPr>
        <w:t xml:space="preserve">, 4 fizioterapeiti, </w:t>
      </w:r>
      <w:r w:rsidR="003F6139" w:rsidRPr="00D25AB9">
        <w:rPr>
          <w:rFonts w:ascii="Arial Narrow" w:hAnsi="Arial Narrow" w:cstheme="minorHAnsi"/>
        </w:rPr>
        <w:t>3</w:t>
      </w:r>
      <w:r w:rsidRPr="00D25AB9">
        <w:rPr>
          <w:rFonts w:ascii="Arial Narrow" w:hAnsi="Arial Narrow" w:cstheme="minorHAnsi"/>
        </w:rPr>
        <w:t xml:space="preserve"> mākslas un mūzikas terapeiti, 2 </w:t>
      </w:r>
      <w:proofErr w:type="spellStart"/>
      <w:r w:rsidR="003F6139" w:rsidRPr="00D25AB9">
        <w:rPr>
          <w:rFonts w:ascii="Arial Narrow" w:hAnsi="Arial Narrow" w:cstheme="minorHAnsi"/>
        </w:rPr>
        <w:t>audiologopēdi</w:t>
      </w:r>
      <w:proofErr w:type="spellEnd"/>
      <w:r w:rsidR="003F6139" w:rsidRPr="00D25AB9">
        <w:rPr>
          <w:rFonts w:ascii="Arial Narrow" w:hAnsi="Arial Narrow" w:cstheme="minorHAnsi"/>
        </w:rPr>
        <w:t xml:space="preserve"> un 1 </w:t>
      </w:r>
      <w:r w:rsidRPr="00D25AB9">
        <w:rPr>
          <w:rFonts w:ascii="Arial Narrow" w:hAnsi="Arial Narrow" w:cstheme="minorHAnsi"/>
        </w:rPr>
        <w:t>uztura speciālist</w:t>
      </w:r>
      <w:r w:rsidR="003F6139" w:rsidRPr="00D25AB9">
        <w:rPr>
          <w:rFonts w:ascii="Arial Narrow" w:hAnsi="Arial Narrow" w:cstheme="minorHAnsi"/>
        </w:rPr>
        <w:t>s)</w:t>
      </w:r>
      <w:r w:rsidRPr="00D25AB9">
        <w:rPr>
          <w:rFonts w:ascii="Arial Narrow" w:hAnsi="Arial Narrow" w:cstheme="minorHAnsi"/>
        </w:rPr>
        <w:t>;</w:t>
      </w:r>
    </w:p>
    <w:p w14:paraId="4BA73398" w14:textId="77777777" w:rsidR="00D04156" w:rsidRPr="00D25AB9" w:rsidRDefault="00D04156" w:rsidP="00131E43">
      <w:pPr>
        <w:pStyle w:val="ListParagraph"/>
        <w:numPr>
          <w:ilvl w:val="0"/>
          <w:numId w:val="2"/>
        </w:numPr>
        <w:rPr>
          <w:rFonts w:ascii="Arial Narrow" w:hAnsi="Arial Narrow" w:cstheme="minorHAnsi"/>
        </w:rPr>
      </w:pPr>
      <w:r w:rsidRPr="00D25AB9">
        <w:rPr>
          <w:rFonts w:ascii="Arial Narrow" w:hAnsi="Arial Narrow" w:cstheme="minorHAnsi"/>
        </w:rPr>
        <w:t>Ārstniecības un pacientu aprūpes personāls:</w:t>
      </w:r>
    </w:p>
    <w:p w14:paraId="76612C03" w14:textId="45AEF590" w:rsidR="00C912BF" w:rsidRPr="00D25AB9" w:rsidRDefault="003C552F" w:rsidP="00D04156">
      <w:pPr>
        <w:pStyle w:val="ListParagraph"/>
        <w:numPr>
          <w:ilvl w:val="1"/>
          <w:numId w:val="2"/>
        </w:numPr>
        <w:rPr>
          <w:rFonts w:ascii="Arial Narrow" w:hAnsi="Arial Narrow" w:cstheme="minorHAnsi"/>
        </w:rPr>
      </w:pPr>
      <w:r w:rsidRPr="00D25AB9">
        <w:rPr>
          <w:rFonts w:ascii="Arial Narrow" w:hAnsi="Arial Narrow" w:cstheme="minorHAnsi"/>
        </w:rPr>
        <w:t>57</w:t>
      </w:r>
      <w:r w:rsidR="00C912BF" w:rsidRPr="00D25AB9">
        <w:rPr>
          <w:rFonts w:ascii="Arial Narrow" w:hAnsi="Arial Narrow" w:cstheme="minorHAnsi"/>
        </w:rPr>
        <w:t xml:space="preserve"> māsas (</w:t>
      </w:r>
      <w:r w:rsidR="003F6139" w:rsidRPr="00D25AB9">
        <w:rPr>
          <w:rFonts w:ascii="Arial Narrow" w:hAnsi="Arial Narrow" w:cstheme="minorHAnsi"/>
        </w:rPr>
        <w:t>7</w:t>
      </w:r>
      <w:r w:rsidR="00C912BF" w:rsidRPr="00D25AB9">
        <w:rPr>
          <w:rFonts w:ascii="Arial Narrow" w:hAnsi="Arial Narrow" w:cstheme="minorHAnsi"/>
        </w:rPr>
        <w:t xml:space="preserve"> vispārējās aprūpes māsas un </w:t>
      </w:r>
      <w:r w:rsidR="003F6139" w:rsidRPr="00D25AB9">
        <w:rPr>
          <w:rFonts w:ascii="Arial Narrow" w:hAnsi="Arial Narrow" w:cstheme="minorHAnsi"/>
        </w:rPr>
        <w:t>50</w:t>
      </w:r>
      <w:r w:rsidR="00C912BF" w:rsidRPr="00D25AB9">
        <w:rPr>
          <w:rFonts w:ascii="Arial Narrow" w:hAnsi="Arial Narrow" w:cstheme="minorHAnsi"/>
        </w:rPr>
        <w:t xml:space="preserve"> sertificētas vispārējās aprūpes māsas psihiatrijā un narkoloģijā);</w:t>
      </w:r>
    </w:p>
    <w:p w14:paraId="70AC4F3C" w14:textId="3658F9CC" w:rsidR="00C912BF" w:rsidRPr="00D25AB9" w:rsidRDefault="00D04156" w:rsidP="00D04156">
      <w:pPr>
        <w:pStyle w:val="ListParagraph"/>
        <w:numPr>
          <w:ilvl w:val="0"/>
          <w:numId w:val="2"/>
        </w:numPr>
        <w:rPr>
          <w:rFonts w:ascii="Arial Narrow" w:hAnsi="Arial Narrow" w:cstheme="minorHAnsi"/>
        </w:rPr>
      </w:pPr>
      <w:r w:rsidRPr="00D25AB9">
        <w:rPr>
          <w:rFonts w:ascii="Arial Narrow" w:hAnsi="Arial Narrow" w:cstheme="minorHAnsi"/>
        </w:rPr>
        <w:t xml:space="preserve">Ārstniecības un pacientu aprūpes atbalsta personāls – </w:t>
      </w:r>
      <w:r w:rsidR="00C912BF" w:rsidRPr="00D25AB9">
        <w:rPr>
          <w:rFonts w:ascii="Arial Narrow" w:hAnsi="Arial Narrow" w:cstheme="minorHAnsi"/>
        </w:rPr>
        <w:t>4</w:t>
      </w:r>
      <w:r w:rsidR="003C552F" w:rsidRPr="00D25AB9">
        <w:rPr>
          <w:rFonts w:ascii="Arial Narrow" w:hAnsi="Arial Narrow" w:cstheme="minorHAnsi"/>
        </w:rPr>
        <w:t>6</w:t>
      </w:r>
      <w:r w:rsidR="00C912BF" w:rsidRPr="00D25AB9">
        <w:rPr>
          <w:rFonts w:ascii="Arial Narrow" w:hAnsi="Arial Narrow" w:cstheme="minorHAnsi"/>
        </w:rPr>
        <w:t xml:space="preserve"> māsu palīgi;</w:t>
      </w:r>
    </w:p>
    <w:p w14:paraId="24780DC0" w14:textId="62E5943C" w:rsidR="00D04156" w:rsidRPr="00D25AB9" w:rsidRDefault="00D04156" w:rsidP="00D04156">
      <w:pPr>
        <w:pStyle w:val="ListParagraph"/>
        <w:numPr>
          <w:ilvl w:val="0"/>
          <w:numId w:val="2"/>
        </w:numPr>
        <w:rPr>
          <w:rFonts w:ascii="Arial Narrow" w:hAnsi="Arial Narrow" w:cstheme="minorHAnsi"/>
        </w:rPr>
      </w:pPr>
      <w:r w:rsidRPr="00D25AB9">
        <w:rPr>
          <w:rFonts w:ascii="Arial Narrow" w:hAnsi="Arial Narrow" w:cstheme="minorHAnsi"/>
        </w:rPr>
        <w:t xml:space="preserve">Administrācija – </w:t>
      </w:r>
      <w:r w:rsidR="003F6139" w:rsidRPr="00D25AB9">
        <w:rPr>
          <w:rFonts w:ascii="Arial Narrow" w:hAnsi="Arial Narrow" w:cstheme="minorHAnsi"/>
        </w:rPr>
        <w:t>10</w:t>
      </w:r>
      <w:r w:rsidRPr="00D25AB9">
        <w:rPr>
          <w:rFonts w:ascii="Arial Narrow" w:hAnsi="Arial Narrow" w:cstheme="minorHAnsi"/>
        </w:rPr>
        <w:t xml:space="preserve"> darbinieki;</w:t>
      </w:r>
    </w:p>
    <w:p w14:paraId="246C8ADF" w14:textId="77777777" w:rsidR="00D04156" w:rsidRPr="00D25AB9" w:rsidRDefault="00D04156" w:rsidP="00131E43">
      <w:pPr>
        <w:pStyle w:val="ListParagraph"/>
        <w:numPr>
          <w:ilvl w:val="0"/>
          <w:numId w:val="2"/>
        </w:numPr>
        <w:rPr>
          <w:rFonts w:ascii="Arial Narrow" w:hAnsi="Arial Narrow" w:cstheme="minorHAnsi"/>
        </w:rPr>
      </w:pPr>
      <w:r w:rsidRPr="00D25AB9">
        <w:rPr>
          <w:rFonts w:ascii="Arial Narrow" w:hAnsi="Arial Narrow" w:cstheme="minorHAnsi"/>
        </w:rPr>
        <w:t>Pārējais personāls:</w:t>
      </w:r>
    </w:p>
    <w:p w14:paraId="633D761E" w14:textId="77777777" w:rsidR="00D04156" w:rsidRPr="00D25AB9" w:rsidRDefault="00D04156" w:rsidP="00D04156">
      <w:pPr>
        <w:pStyle w:val="ListParagraph"/>
        <w:numPr>
          <w:ilvl w:val="1"/>
          <w:numId w:val="2"/>
        </w:numPr>
        <w:rPr>
          <w:rFonts w:ascii="Arial Narrow" w:hAnsi="Arial Narrow" w:cstheme="minorHAnsi"/>
        </w:rPr>
      </w:pPr>
      <w:r w:rsidRPr="00D25AB9">
        <w:rPr>
          <w:rFonts w:ascii="Arial Narrow" w:hAnsi="Arial Narrow" w:cstheme="minorHAnsi"/>
        </w:rPr>
        <w:t>7 psihologi (6 klīniskie psihologi un 1 psihoterapijas speciālists);</w:t>
      </w:r>
    </w:p>
    <w:p w14:paraId="1D68B306" w14:textId="4457C1C9" w:rsidR="00C912BF" w:rsidRPr="00D25AB9" w:rsidRDefault="003C552F" w:rsidP="00D04156">
      <w:pPr>
        <w:pStyle w:val="ListParagraph"/>
        <w:numPr>
          <w:ilvl w:val="1"/>
          <w:numId w:val="2"/>
        </w:numPr>
        <w:rPr>
          <w:rFonts w:ascii="Arial Narrow" w:hAnsi="Arial Narrow" w:cstheme="minorHAnsi"/>
        </w:rPr>
      </w:pPr>
      <w:r w:rsidRPr="00D25AB9">
        <w:rPr>
          <w:rFonts w:ascii="Arial Narrow" w:hAnsi="Arial Narrow" w:cstheme="minorHAnsi"/>
        </w:rPr>
        <w:t>2</w:t>
      </w:r>
      <w:r w:rsidR="003F6139" w:rsidRPr="00D25AB9">
        <w:rPr>
          <w:rFonts w:ascii="Arial Narrow" w:hAnsi="Arial Narrow" w:cstheme="minorHAnsi"/>
        </w:rPr>
        <w:t>8</w:t>
      </w:r>
      <w:r w:rsidR="00C912BF" w:rsidRPr="00D25AB9">
        <w:rPr>
          <w:rFonts w:ascii="Arial Narrow" w:hAnsi="Arial Narrow" w:cstheme="minorHAnsi"/>
        </w:rPr>
        <w:t xml:space="preserve"> sanitāri;</w:t>
      </w:r>
    </w:p>
    <w:p w14:paraId="54A8BB54" w14:textId="4E0B72ED" w:rsidR="00C912BF" w:rsidRPr="00D25AB9" w:rsidRDefault="00C912BF" w:rsidP="00D04156">
      <w:pPr>
        <w:pStyle w:val="ListParagraph"/>
        <w:numPr>
          <w:ilvl w:val="1"/>
          <w:numId w:val="2"/>
        </w:numPr>
        <w:rPr>
          <w:rFonts w:ascii="Arial Narrow" w:hAnsi="Arial Narrow" w:cstheme="minorHAnsi"/>
        </w:rPr>
      </w:pPr>
      <w:r w:rsidRPr="00D25AB9">
        <w:rPr>
          <w:rFonts w:ascii="Arial Narrow" w:hAnsi="Arial Narrow" w:cstheme="minorHAnsi"/>
        </w:rPr>
        <w:t>1</w:t>
      </w:r>
      <w:r w:rsidR="003F6139" w:rsidRPr="00D25AB9">
        <w:rPr>
          <w:rFonts w:ascii="Arial Narrow" w:hAnsi="Arial Narrow" w:cstheme="minorHAnsi"/>
        </w:rPr>
        <w:t>1</w:t>
      </w:r>
      <w:r w:rsidRPr="00D25AB9">
        <w:rPr>
          <w:rFonts w:ascii="Arial Narrow" w:hAnsi="Arial Narrow" w:cstheme="minorHAnsi"/>
        </w:rPr>
        <w:t xml:space="preserve"> ārstnieciskā un aprūpes darba atbalsta personāls;</w:t>
      </w:r>
    </w:p>
    <w:p w14:paraId="4C19F9DB" w14:textId="423A4662" w:rsidR="00C912BF" w:rsidRPr="00D25AB9" w:rsidRDefault="007D1484" w:rsidP="00D04156">
      <w:pPr>
        <w:pStyle w:val="ListParagraph"/>
        <w:numPr>
          <w:ilvl w:val="1"/>
          <w:numId w:val="2"/>
        </w:numPr>
        <w:rPr>
          <w:rFonts w:ascii="Arial Narrow" w:hAnsi="Arial Narrow" w:cstheme="minorHAnsi"/>
        </w:rPr>
      </w:pPr>
      <w:r w:rsidRPr="00D25AB9">
        <w:rPr>
          <w:rFonts w:ascii="Arial Narrow" w:hAnsi="Arial Narrow" w:cstheme="minorHAnsi"/>
        </w:rPr>
        <w:t>9</w:t>
      </w:r>
      <w:r w:rsidR="00C912BF" w:rsidRPr="00D25AB9">
        <w:rPr>
          <w:rFonts w:ascii="Arial Narrow" w:hAnsi="Arial Narrow" w:cstheme="minorHAnsi"/>
        </w:rPr>
        <w:t xml:space="preserve"> saimnieciski tehniskais personāls.</w:t>
      </w:r>
    </w:p>
    <w:p w14:paraId="1B932712" w14:textId="77777777" w:rsidR="00C912BF" w:rsidRPr="00D25AB9" w:rsidRDefault="00C912BF" w:rsidP="00E7197A">
      <w:pPr>
        <w:pStyle w:val="Heading2"/>
        <w:rPr>
          <w:rFonts w:ascii="Arial Narrow" w:hAnsi="Arial Narrow" w:cstheme="minorHAnsi"/>
        </w:rPr>
      </w:pPr>
      <w:r w:rsidRPr="00D25AB9">
        <w:rPr>
          <w:rFonts w:ascii="Arial Narrow" w:hAnsi="Arial Narrow" w:cstheme="minorHAnsi"/>
        </w:rPr>
        <w:t>Darbinieku mainība</w:t>
      </w:r>
    </w:p>
    <w:p w14:paraId="34F44C70" w14:textId="64F65878" w:rsidR="007D1484" w:rsidRPr="00D25AB9" w:rsidRDefault="007D1484" w:rsidP="004A38E8">
      <w:pPr>
        <w:widowControl w:val="0"/>
        <w:spacing w:after="0"/>
        <w:ind w:right="-2" w:firstLine="720"/>
        <w:rPr>
          <w:rFonts w:ascii="Arial Narrow" w:hAnsi="Arial Narrow" w:cstheme="minorHAnsi"/>
        </w:rPr>
      </w:pPr>
      <w:r w:rsidRPr="00D25AB9">
        <w:rPr>
          <w:rFonts w:ascii="Arial Narrow" w:hAnsi="Arial Narrow" w:cstheme="minorHAnsi"/>
        </w:rPr>
        <w:t>Salīdzinot vidējo nodarbināto skaitu Slimnīcā 2025. gada sešos mēnešos ar nodarbināto skaitu 2024. gada sešos mēnešos, Slimnīcā nodarbināts par 21 darbinieku vairāk, kas saistīts ar jaunas nodaļas – narkolo</w:t>
      </w:r>
      <w:r w:rsidR="00F24040" w:rsidRPr="00D25AB9">
        <w:rPr>
          <w:rFonts w:ascii="Arial Narrow" w:hAnsi="Arial Narrow" w:cstheme="minorHAnsi"/>
        </w:rPr>
        <w:t>ģi</w:t>
      </w:r>
      <w:r w:rsidRPr="00D25AB9">
        <w:rPr>
          <w:rFonts w:ascii="Arial Narrow" w:hAnsi="Arial Narrow" w:cstheme="minorHAnsi"/>
        </w:rPr>
        <w:t>jas profila pacientiem atvēršanu no 2025.gada 1.janvāra.</w:t>
      </w:r>
    </w:p>
    <w:p w14:paraId="1B252FB1" w14:textId="77443957" w:rsidR="007D1484" w:rsidRPr="00D25AB9" w:rsidRDefault="007D1484" w:rsidP="004A38E8">
      <w:pPr>
        <w:widowControl w:val="0"/>
        <w:spacing w:after="0"/>
        <w:ind w:firstLine="720"/>
        <w:rPr>
          <w:rFonts w:ascii="Arial Narrow" w:hAnsi="Arial Narrow" w:cstheme="minorHAnsi"/>
        </w:rPr>
      </w:pPr>
      <w:r w:rsidRPr="00D25AB9">
        <w:rPr>
          <w:rFonts w:ascii="Arial Narrow" w:hAnsi="Arial Narrow" w:cstheme="minorHAnsi"/>
        </w:rPr>
        <w:t xml:space="preserve">2025. gada sešos mēnešos darba tiesiskās attiecības nodibinātas ar  24 darbiniekiem – tai skaitā ar 22 darbiniekiem 5.nodaļā (narkoloģijas profila pacientiem), kas savu darbību Slimnīcā uzsāka kā </w:t>
      </w:r>
      <w:proofErr w:type="spellStart"/>
      <w:r w:rsidRPr="00D25AB9">
        <w:rPr>
          <w:rFonts w:ascii="Arial Narrow" w:hAnsi="Arial Narrow" w:cstheme="minorHAnsi"/>
        </w:rPr>
        <w:t>jaunizveidota</w:t>
      </w:r>
      <w:proofErr w:type="spellEnd"/>
      <w:r w:rsidRPr="00D25AB9">
        <w:rPr>
          <w:rFonts w:ascii="Arial Narrow" w:hAnsi="Arial Narrow" w:cstheme="minorHAnsi"/>
        </w:rPr>
        <w:t xml:space="preserve"> nodaļa, kā arī ar vienu rezident</w:t>
      </w:r>
      <w:r w:rsidR="00394371">
        <w:rPr>
          <w:rFonts w:ascii="Arial Narrow" w:hAnsi="Arial Narrow" w:cstheme="minorHAnsi"/>
        </w:rPr>
        <w:t>u</w:t>
      </w:r>
      <w:r w:rsidRPr="00D25AB9">
        <w:rPr>
          <w:rFonts w:ascii="Arial Narrow" w:hAnsi="Arial Narrow" w:cstheme="minorHAnsi"/>
        </w:rPr>
        <w:t xml:space="preserve"> bērnu psihiatrijā un vienu sanitār</w:t>
      </w:r>
      <w:r w:rsidR="00394371">
        <w:rPr>
          <w:rFonts w:ascii="Arial Narrow" w:hAnsi="Arial Narrow" w:cstheme="minorHAnsi"/>
        </w:rPr>
        <w:t>u</w:t>
      </w:r>
      <w:r w:rsidRPr="00D25AB9">
        <w:rPr>
          <w:rFonts w:ascii="Arial Narrow" w:hAnsi="Arial Narrow" w:cstheme="minorHAnsi"/>
        </w:rPr>
        <w:t>. Darba attiecības 2025. gada sešos mēnešos izbeigtas ar 4 darbiniekiem.</w:t>
      </w:r>
    </w:p>
    <w:p w14:paraId="7CA36C51" w14:textId="77777777" w:rsidR="007D1484" w:rsidRPr="00D25AB9" w:rsidRDefault="007D1484" w:rsidP="004A38E8">
      <w:pPr>
        <w:widowControl w:val="0"/>
        <w:spacing w:after="0"/>
        <w:ind w:firstLine="720"/>
        <w:rPr>
          <w:rFonts w:ascii="Arial Narrow" w:hAnsi="Arial Narrow" w:cstheme="minorHAnsi"/>
        </w:rPr>
      </w:pPr>
      <w:r w:rsidRPr="00D25AB9">
        <w:rPr>
          <w:rFonts w:ascii="Arial Narrow" w:hAnsi="Arial Narrow" w:cstheme="minorHAnsi"/>
        </w:rPr>
        <w:lastRenderedPageBreak/>
        <w:t xml:space="preserve">Slimnīcā nav personāla nepietiekamības māsu, māsu palīgu, sanitāru un cita ārstniecības atbalsta personāla segmentos, bet ilgstoši ir nepietiekams ārstu skaits, kas ir īpaši aktuāls diennakts dežūru nodrošināšanai Uzņemšanas nodaļā. Lai nodrošinātu Uzņemšanas nodaļas darbu un arī pacientu aprūpes nepārtrauktību stacionāra nodaļās, daļa Slimnīcas ārstu veic virsstundu darbu. </w:t>
      </w:r>
    </w:p>
    <w:p w14:paraId="247F6985" w14:textId="44876321" w:rsidR="007D1484" w:rsidRPr="00D25AB9" w:rsidRDefault="007D1484" w:rsidP="004A38E8">
      <w:pPr>
        <w:widowControl w:val="0"/>
        <w:spacing w:after="0"/>
        <w:ind w:firstLine="720"/>
        <w:rPr>
          <w:rFonts w:ascii="Arial Narrow" w:hAnsi="Arial Narrow" w:cstheme="minorHAnsi"/>
        </w:rPr>
      </w:pPr>
      <w:r w:rsidRPr="00D25AB9">
        <w:rPr>
          <w:rFonts w:ascii="Arial Narrow" w:hAnsi="Arial Narrow" w:cstheme="minorHAnsi"/>
        </w:rPr>
        <w:t xml:space="preserve">Lai risinātu ārstu nepietiekamā skaita problēmu, regulāri tiek publicēti vakanču sludinājumi gan Slimnīcas mājas lapā </w:t>
      </w:r>
      <w:hyperlink r:id="rId11" w:history="1">
        <w:r w:rsidRPr="00D25AB9">
          <w:rPr>
            <w:rStyle w:val="Hyperlink"/>
            <w:rFonts w:ascii="Arial Narrow" w:hAnsi="Arial Narrow" w:cstheme="minorHAnsi"/>
          </w:rPr>
          <w:t>https://piejurasslimnica.lv/lv/darba-piedavajumi</w:t>
        </w:r>
      </w:hyperlink>
      <w:r w:rsidRPr="00D25AB9">
        <w:rPr>
          <w:rFonts w:ascii="Arial Narrow" w:hAnsi="Arial Narrow" w:cstheme="minorHAnsi"/>
        </w:rPr>
        <w:t xml:space="preserve">, gan Nodarbinātības valsts aģentūras Vakanču portālā, tai skaitā sociālās tīmekļvietnes </w:t>
      </w:r>
      <w:proofErr w:type="spellStart"/>
      <w:r w:rsidRPr="00D25AB9">
        <w:rPr>
          <w:rFonts w:ascii="Arial Narrow" w:hAnsi="Arial Narrow" w:cstheme="minorHAnsi"/>
        </w:rPr>
        <w:t>Facebook</w:t>
      </w:r>
      <w:proofErr w:type="spellEnd"/>
      <w:r w:rsidRPr="00D25AB9">
        <w:rPr>
          <w:rFonts w:ascii="Arial Narrow" w:hAnsi="Arial Narrow" w:cstheme="minorHAnsi"/>
        </w:rPr>
        <w:t xml:space="preserve"> Nodarbinātības valsts aģentūras kontā, kā arī informācija iesniegta Psihiatru asociācijai un nosūtīta Rīgas Stradiņa universitātes Rezidentūras studiju fakultātes dekānei. Slimnī</w:t>
      </w:r>
      <w:r w:rsidR="00394371">
        <w:rPr>
          <w:rFonts w:ascii="Arial Narrow" w:hAnsi="Arial Narrow" w:cstheme="minorHAnsi"/>
        </w:rPr>
        <w:t xml:space="preserve">cas personālam tiek piedāvāts, </w:t>
      </w:r>
      <w:r w:rsidRPr="00D25AB9">
        <w:rPr>
          <w:rFonts w:ascii="Arial Narrow" w:hAnsi="Arial Narrow" w:cstheme="minorHAnsi"/>
        </w:rPr>
        <w:t xml:space="preserve">ar Liepājas </w:t>
      </w:r>
      <w:proofErr w:type="spellStart"/>
      <w:r w:rsidR="00394371" w:rsidRPr="00D25AB9">
        <w:rPr>
          <w:rFonts w:ascii="Arial Narrow" w:hAnsi="Arial Narrow" w:cstheme="minorHAnsi"/>
        </w:rPr>
        <w:t>valstspilsētas</w:t>
      </w:r>
      <w:proofErr w:type="spellEnd"/>
      <w:r w:rsidR="00394371" w:rsidRPr="00D25AB9">
        <w:rPr>
          <w:rFonts w:ascii="Arial Narrow" w:hAnsi="Arial Narrow" w:cstheme="minorHAnsi"/>
        </w:rPr>
        <w:t xml:space="preserve"> domes</w:t>
      </w:r>
      <w:r w:rsidRPr="00D25AB9">
        <w:rPr>
          <w:rFonts w:ascii="Arial Narrow" w:hAnsi="Arial Narrow" w:cstheme="minorHAnsi"/>
        </w:rPr>
        <w:t xml:space="preserve"> izveidots</w:t>
      </w:r>
      <w:r w:rsidR="00394371">
        <w:rPr>
          <w:rFonts w:ascii="Arial Narrow" w:hAnsi="Arial Narrow" w:cstheme="minorHAnsi"/>
        </w:rPr>
        <w:t>,</w:t>
      </w:r>
      <w:r w:rsidRPr="00D25AB9">
        <w:rPr>
          <w:rFonts w:ascii="Arial Narrow" w:hAnsi="Arial Narrow" w:cstheme="minorHAnsi"/>
        </w:rPr>
        <w:t xml:space="preserve"> atbalsta pasākumu plāns jaunajiem darbiniekiem, kas ietver dzīvesvietas nodrošināšanu, uzņemot prioritārajā pašvaldības dzīvokļu rindā,  palīdzību sociālo un sadzīvisko jautājumu risināšanā un nodrošinot vietu bērniem pirmsskolas izglītības iestādēs.</w:t>
      </w:r>
    </w:p>
    <w:p w14:paraId="46FFE42A" w14:textId="77777777" w:rsidR="007D1484" w:rsidRPr="00D25AB9" w:rsidRDefault="007D1484" w:rsidP="007D1484">
      <w:pPr>
        <w:widowControl w:val="0"/>
        <w:spacing w:after="0" w:line="360" w:lineRule="auto"/>
        <w:ind w:firstLine="720"/>
        <w:rPr>
          <w:rFonts w:ascii="Arial Narrow" w:hAnsi="Arial Narrow" w:cstheme="minorHAnsi"/>
        </w:rPr>
      </w:pPr>
      <w:r w:rsidRPr="00D25AB9">
        <w:rPr>
          <w:rFonts w:ascii="Arial Narrow" w:hAnsi="Arial Narrow" w:cstheme="minorHAnsi"/>
        </w:rPr>
        <w:t xml:space="preserve">2025. gada sešos mēnešos Slimnīcā ir šādas ārstu vakances: </w:t>
      </w:r>
    </w:p>
    <w:p w14:paraId="61E0F8B8" w14:textId="77777777" w:rsidR="007D1484" w:rsidRPr="00D25AB9" w:rsidRDefault="007D1484" w:rsidP="007D1484">
      <w:pPr>
        <w:widowControl w:val="0"/>
        <w:numPr>
          <w:ilvl w:val="0"/>
          <w:numId w:val="3"/>
        </w:numPr>
        <w:spacing w:before="0" w:after="0" w:line="360" w:lineRule="auto"/>
        <w:rPr>
          <w:rFonts w:ascii="Arial Narrow" w:hAnsi="Arial Narrow" w:cstheme="minorHAnsi"/>
        </w:rPr>
      </w:pPr>
      <w:r w:rsidRPr="00D25AB9">
        <w:rPr>
          <w:rFonts w:ascii="Arial Narrow" w:hAnsi="Arial Narrow" w:cstheme="minorHAnsi"/>
        </w:rPr>
        <w:t>bērnu psihiatrs – 1 vakance;</w:t>
      </w:r>
    </w:p>
    <w:p w14:paraId="0EB2A667" w14:textId="77777777" w:rsidR="007D1484" w:rsidRPr="00D25AB9" w:rsidRDefault="007D1484" w:rsidP="004A38E8">
      <w:pPr>
        <w:widowControl w:val="0"/>
        <w:numPr>
          <w:ilvl w:val="0"/>
          <w:numId w:val="3"/>
        </w:numPr>
        <w:spacing w:before="0" w:after="240"/>
        <w:rPr>
          <w:rFonts w:ascii="Arial Narrow" w:hAnsi="Arial Narrow" w:cstheme="minorHAnsi"/>
        </w:rPr>
      </w:pPr>
      <w:r w:rsidRPr="00D25AB9">
        <w:rPr>
          <w:rFonts w:ascii="Arial Narrow" w:hAnsi="Arial Narrow" w:cstheme="minorHAnsi"/>
        </w:rPr>
        <w:t>psihiatrs – 7 vakances, tai skaitā ārstiem-stažieriem (3. un 4. gada rezidentiem psihiatrijas studijās), kuri var strādāt visās stacionāra nodaļās sertificēta psihiatra uzraudzībā.</w:t>
      </w:r>
    </w:p>
    <w:p w14:paraId="48B30F3F" w14:textId="77777777" w:rsidR="00C912BF" w:rsidRPr="00D25AB9" w:rsidRDefault="00C912BF" w:rsidP="00E7197A">
      <w:pPr>
        <w:pStyle w:val="Heading2"/>
        <w:rPr>
          <w:rFonts w:ascii="Arial Narrow" w:hAnsi="Arial Narrow" w:cstheme="minorHAnsi"/>
        </w:rPr>
      </w:pPr>
      <w:r w:rsidRPr="00D25AB9">
        <w:rPr>
          <w:rFonts w:ascii="Arial Narrow" w:hAnsi="Arial Narrow" w:cstheme="minorHAnsi"/>
        </w:rPr>
        <w:t>Ārstniecības personu vecuma struktūra</w:t>
      </w:r>
    </w:p>
    <w:p w14:paraId="00C3E828" w14:textId="4CA5D357" w:rsidR="00C56E64" w:rsidRPr="00D25AB9" w:rsidRDefault="004420B9" w:rsidP="004420B9">
      <w:pPr>
        <w:rPr>
          <w:rFonts w:ascii="Arial Narrow" w:hAnsi="Arial Narrow" w:cstheme="minorHAnsi"/>
        </w:rPr>
      </w:pPr>
      <w:r w:rsidRPr="00D25AB9">
        <w:rPr>
          <w:rFonts w:ascii="Arial Narrow" w:hAnsi="Arial Narrow" w:cstheme="minorHAnsi"/>
        </w:rPr>
        <w:t>Ārstniecības personu vecuma struktūra:</w:t>
      </w:r>
    </w:p>
    <w:tbl>
      <w:tblPr>
        <w:tblStyle w:val="GridTable1Light-Accent2"/>
        <w:tblW w:w="9501" w:type="dxa"/>
        <w:tblLook w:val="04E0" w:firstRow="1" w:lastRow="1" w:firstColumn="1" w:lastColumn="0" w:noHBand="0" w:noVBand="1"/>
      </w:tblPr>
      <w:tblGrid>
        <w:gridCol w:w="2615"/>
        <w:gridCol w:w="897"/>
        <w:gridCol w:w="990"/>
        <w:gridCol w:w="988"/>
        <w:gridCol w:w="990"/>
        <w:gridCol w:w="987"/>
        <w:gridCol w:w="887"/>
        <w:gridCol w:w="1147"/>
      </w:tblGrid>
      <w:tr w:rsidR="000A5F9F" w:rsidRPr="00D25AB9" w14:paraId="03AC73E2" w14:textId="77777777" w:rsidTr="007D148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15" w:type="dxa"/>
            <w:vMerge w:val="restart"/>
            <w:vAlign w:val="center"/>
            <w:hideMark/>
          </w:tcPr>
          <w:p w14:paraId="295504CF" w14:textId="77777777" w:rsidR="000A5F9F" w:rsidRPr="00D25AB9" w:rsidRDefault="000A5F9F" w:rsidP="000A5F9F">
            <w:pPr>
              <w:spacing w:before="0"/>
              <w:jc w:val="center"/>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Speciālistu kategorija</w:t>
            </w:r>
          </w:p>
        </w:tc>
        <w:tc>
          <w:tcPr>
            <w:tcW w:w="1887" w:type="dxa"/>
            <w:gridSpan w:val="2"/>
            <w:vAlign w:val="center"/>
            <w:hideMark/>
          </w:tcPr>
          <w:p w14:paraId="3DA639DD"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25 - 40</w:t>
            </w:r>
          </w:p>
        </w:tc>
        <w:tc>
          <w:tcPr>
            <w:tcW w:w="1978" w:type="dxa"/>
            <w:gridSpan w:val="2"/>
            <w:vAlign w:val="center"/>
            <w:hideMark/>
          </w:tcPr>
          <w:p w14:paraId="2D06A3C2"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41-59</w:t>
            </w:r>
          </w:p>
        </w:tc>
        <w:tc>
          <w:tcPr>
            <w:tcW w:w="1874" w:type="dxa"/>
            <w:gridSpan w:val="2"/>
            <w:vAlign w:val="center"/>
            <w:hideMark/>
          </w:tcPr>
          <w:p w14:paraId="72C52676"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60 un vairāk</w:t>
            </w:r>
          </w:p>
        </w:tc>
        <w:tc>
          <w:tcPr>
            <w:tcW w:w="1147" w:type="dxa"/>
            <w:vMerge w:val="restart"/>
            <w:vAlign w:val="center"/>
            <w:hideMark/>
          </w:tcPr>
          <w:p w14:paraId="106166AB"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Kopā pa kategoriju</w:t>
            </w:r>
          </w:p>
        </w:tc>
      </w:tr>
      <w:tr w:rsidR="000A5F9F" w:rsidRPr="00D25AB9" w14:paraId="760EB861" w14:textId="77777777" w:rsidTr="007D148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15" w:type="dxa"/>
            <w:vMerge/>
            <w:vAlign w:val="center"/>
            <w:hideMark/>
          </w:tcPr>
          <w:p w14:paraId="09E65CB4" w14:textId="77777777" w:rsidR="000A5F9F" w:rsidRPr="00D25AB9" w:rsidRDefault="000A5F9F" w:rsidP="000A5F9F">
            <w:pPr>
              <w:spacing w:before="0"/>
              <w:jc w:val="center"/>
              <w:rPr>
                <w:rFonts w:ascii="Arial Narrow" w:eastAsia="Times New Roman" w:hAnsi="Arial Narrow" w:cstheme="minorHAnsi"/>
                <w:sz w:val="22"/>
                <w:szCs w:val="22"/>
                <w:lang w:eastAsia="lv-LV"/>
              </w:rPr>
            </w:pPr>
          </w:p>
        </w:tc>
        <w:tc>
          <w:tcPr>
            <w:tcW w:w="897" w:type="dxa"/>
            <w:vAlign w:val="center"/>
            <w:hideMark/>
          </w:tcPr>
          <w:p w14:paraId="657F1053"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Skaits</w:t>
            </w:r>
          </w:p>
        </w:tc>
        <w:tc>
          <w:tcPr>
            <w:tcW w:w="990" w:type="dxa"/>
            <w:vAlign w:val="center"/>
            <w:hideMark/>
          </w:tcPr>
          <w:p w14:paraId="56A21D10"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p>
        </w:tc>
        <w:tc>
          <w:tcPr>
            <w:tcW w:w="988" w:type="dxa"/>
            <w:vAlign w:val="center"/>
            <w:hideMark/>
          </w:tcPr>
          <w:p w14:paraId="2441D1A5"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Skaits</w:t>
            </w:r>
          </w:p>
        </w:tc>
        <w:tc>
          <w:tcPr>
            <w:tcW w:w="990" w:type="dxa"/>
            <w:vAlign w:val="center"/>
            <w:hideMark/>
          </w:tcPr>
          <w:p w14:paraId="0C1470D3"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p>
        </w:tc>
        <w:tc>
          <w:tcPr>
            <w:tcW w:w="987" w:type="dxa"/>
            <w:vAlign w:val="center"/>
            <w:hideMark/>
          </w:tcPr>
          <w:p w14:paraId="073905E1"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Skaits</w:t>
            </w:r>
          </w:p>
        </w:tc>
        <w:tc>
          <w:tcPr>
            <w:tcW w:w="887" w:type="dxa"/>
            <w:vAlign w:val="center"/>
            <w:hideMark/>
          </w:tcPr>
          <w:p w14:paraId="31A33732"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w:t>
            </w:r>
          </w:p>
        </w:tc>
        <w:tc>
          <w:tcPr>
            <w:tcW w:w="1147" w:type="dxa"/>
            <w:vMerge/>
            <w:vAlign w:val="center"/>
            <w:hideMark/>
          </w:tcPr>
          <w:p w14:paraId="5D894451" w14:textId="77777777" w:rsidR="000A5F9F" w:rsidRPr="00D25AB9"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p>
        </w:tc>
      </w:tr>
      <w:tr w:rsidR="00F00CFF" w:rsidRPr="00D25AB9" w14:paraId="61B0715F" w14:textId="77777777" w:rsidTr="004A38E8">
        <w:trPr>
          <w:trHeight w:val="312"/>
        </w:trPr>
        <w:tc>
          <w:tcPr>
            <w:cnfStyle w:val="001000000000" w:firstRow="0" w:lastRow="0" w:firstColumn="1" w:lastColumn="0" w:oddVBand="0" w:evenVBand="0" w:oddHBand="0" w:evenHBand="0" w:firstRowFirstColumn="0" w:firstRowLastColumn="0" w:lastRowFirstColumn="0" w:lastRowLastColumn="0"/>
            <w:tcW w:w="2615" w:type="dxa"/>
            <w:hideMark/>
          </w:tcPr>
          <w:p w14:paraId="2DC46317" w14:textId="77777777" w:rsidR="00F00CFF" w:rsidRPr="00D25AB9" w:rsidRDefault="00F00CFF" w:rsidP="00F00CFF">
            <w:pPr>
              <w:spacing w:before="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Ārsti</w:t>
            </w:r>
          </w:p>
        </w:tc>
        <w:tc>
          <w:tcPr>
            <w:tcW w:w="897" w:type="dxa"/>
            <w:vAlign w:val="center"/>
            <w:hideMark/>
          </w:tcPr>
          <w:p w14:paraId="621A3AF3" w14:textId="6B95F360"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3</w:t>
            </w:r>
          </w:p>
        </w:tc>
        <w:tc>
          <w:tcPr>
            <w:tcW w:w="990" w:type="dxa"/>
            <w:vAlign w:val="center"/>
            <w:hideMark/>
          </w:tcPr>
          <w:p w14:paraId="23547510" w14:textId="7D2E2626"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18.8%</w:t>
            </w:r>
          </w:p>
        </w:tc>
        <w:tc>
          <w:tcPr>
            <w:tcW w:w="988" w:type="dxa"/>
            <w:vAlign w:val="center"/>
            <w:hideMark/>
          </w:tcPr>
          <w:p w14:paraId="7A1BB928" w14:textId="6CF519D1"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3</w:t>
            </w:r>
          </w:p>
        </w:tc>
        <w:tc>
          <w:tcPr>
            <w:tcW w:w="990" w:type="dxa"/>
            <w:vAlign w:val="center"/>
            <w:hideMark/>
          </w:tcPr>
          <w:p w14:paraId="149B2546" w14:textId="313DDCC7"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18.8%</w:t>
            </w:r>
          </w:p>
        </w:tc>
        <w:tc>
          <w:tcPr>
            <w:tcW w:w="987" w:type="dxa"/>
            <w:vAlign w:val="center"/>
            <w:hideMark/>
          </w:tcPr>
          <w:p w14:paraId="1EF1BE15" w14:textId="44B6E8F3"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10</w:t>
            </w:r>
          </w:p>
        </w:tc>
        <w:tc>
          <w:tcPr>
            <w:tcW w:w="887" w:type="dxa"/>
            <w:vAlign w:val="center"/>
            <w:hideMark/>
          </w:tcPr>
          <w:p w14:paraId="3B15E254" w14:textId="62CD773B"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62.5%</w:t>
            </w:r>
          </w:p>
        </w:tc>
        <w:tc>
          <w:tcPr>
            <w:tcW w:w="1147" w:type="dxa"/>
            <w:vAlign w:val="center"/>
            <w:hideMark/>
          </w:tcPr>
          <w:p w14:paraId="51987AEB" w14:textId="38F019A5"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16</w:t>
            </w:r>
          </w:p>
        </w:tc>
      </w:tr>
      <w:tr w:rsidR="00F00CFF" w:rsidRPr="00D25AB9" w14:paraId="23CE7FA0" w14:textId="77777777" w:rsidTr="004A38E8">
        <w:trPr>
          <w:trHeight w:val="300"/>
        </w:trPr>
        <w:tc>
          <w:tcPr>
            <w:cnfStyle w:val="001000000000" w:firstRow="0" w:lastRow="0" w:firstColumn="1" w:lastColumn="0" w:oddVBand="0" w:evenVBand="0" w:oddHBand="0" w:evenHBand="0" w:firstRowFirstColumn="0" w:firstRowLastColumn="0" w:lastRowFirstColumn="0" w:lastRowLastColumn="0"/>
            <w:tcW w:w="2615" w:type="dxa"/>
            <w:hideMark/>
          </w:tcPr>
          <w:p w14:paraId="48FA27D9" w14:textId="77777777" w:rsidR="00F00CFF" w:rsidRPr="00D25AB9" w:rsidRDefault="00F00CFF" w:rsidP="00F00CFF">
            <w:pPr>
              <w:spacing w:before="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Funkcionālie speciālisti</w:t>
            </w:r>
          </w:p>
        </w:tc>
        <w:tc>
          <w:tcPr>
            <w:tcW w:w="897" w:type="dxa"/>
            <w:vAlign w:val="center"/>
            <w:hideMark/>
          </w:tcPr>
          <w:p w14:paraId="3FD77D9C" w14:textId="26AAB437"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10</w:t>
            </w:r>
          </w:p>
        </w:tc>
        <w:tc>
          <w:tcPr>
            <w:tcW w:w="990" w:type="dxa"/>
            <w:vAlign w:val="center"/>
            <w:hideMark/>
          </w:tcPr>
          <w:p w14:paraId="48FA91FA" w14:textId="3D2EB262"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71.4%</w:t>
            </w:r>
          </w:p>
        </w:tc>
        <w:tc>
          <w:tcPr>
            <w:tcW w:w="988" w:type="dxa"/>
            <w:vAlign w:val="center"/>
            <w:hideMark/>
          </w:tcPr>
          <w:p w14:paraId="4FBF0886" w14:textId="59BC5C6A"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4</w:t>
            </w:r>
          </w:p>
        </w:tc>
        <w:tc>
          <w:tcPr>
            <w:tcW w:w="990" w:type="dxa"/>
            <w:vAlign w:val="center"/>
            <w:hideMark/>
          </w:tcPr>
          <w:p w14:paraId="6EB6DB50" w14:textId="6245645D"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28.6%</w:t>
            </w:r>
          </w:p>
        </w:tc>
        <w:tc>
          <w:tcPr>
            <w:tcW w:w="987" w:type="dxa"/>
            <w:vAlign w:val="center"/>
            <w:hideMark/>
          </w:tcPr>
          <w:p w14:paraId="780875B5" w14:textId="6EDCBF96"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0</w:t>
            </w:r>
          </w:p>
        </w:tc>
        <w:tc>
          <w:tcPr>
            <w:tcW w:w="887" w:type="dxa"/>
            <w:vAlign w:val="center"/>
            <w:hideMark/>
          </w:tcPr>
          <w:p w14:paraId="7798A573" w14:textId="3CDE310E"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0.0%</w:t>
            </w:r>
          </w:p>
        </w:tc>
        <w:tc>
          <w:tcPr>
            <w:tcW w:w="1147" w:type="dxa"/>
            <w:vAlign w:val="center"/>
            <w:hideMark/>
          </w:tcPr>
          <w:p w14:paraId="361020FE" w14:textId="09CA28AE"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14</w:t>
            </w:r>
          </w:p>
        </w:tc>
      </w:tr>
      <w:tr w:rsidR="00F00CFF" w:rsidRPr="00D25AB9" w14:paraId="29C42A48" w14:textId="77777777" w:rsidTr="004A38E8">
        <w:trPr>
          <w:trHeight w:val="300"/>
        </w:trPr>
        <w:tc>
          <w:tcPr>
            <w:cnfStyle w:val="001000000000" w:firstRow="0" w:lastRow="0" w:firstColumn="1" w:lastColumn="0" w:oddVBand="0" w:evenVBand="0" w:oddHBand="0" w:evenHBand="0" w:firstRowFirstColumn="0" w:firstRowLastColumn="0" w:lastRowFirstColumn="0" w:lastRowLastColumn="0"/>
            <w:tcW w:w="2615" w:type="dxa"/>
            <w:hideMark/>
          </w:tcPr>
          <w:p w14:paraId="4402DE50" w14:textId="03F2BBF3" w:rsidR="00F00CFF" w:rsidRPr="00D25AB9" w:rsidRDefault="00F00CFF" w:rsidP="00F00CFF">
            <w:pPr>
              <w:spacing w:before="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 xml:space="preserve">Māsas </w:t>
            </w:r>
          </w:p>
        </w:tc>
        <w:tc>
          <w:tcPr>
            <w:tcW w:w="897" w:type="dxa"/>
            <w:vAlign w:val="center"/>
            <w:hideMark/>
          </w:tcPr>
          <w:p w14:paraId="3D177DF3" w14:textId="020A9A4B"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15</w:t>
            </w:r>
          </w:p>
        </w:tc>
        <w:tc>
          <w:tcPr>
            <w:tcW w:w="990" w:type="dxa"/>
            <w:vAlign w:val="center"/>
            <w:hideMark/>
          </w:tcPr>
          <w:p w14:paraId="4947B9C7" w14:textId="540F89ED"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26.3%</w:t>
            </w:r>
          </w:p>
        </w:tc>
        <w:tc>
          <w:tcPr>
            <w:tcW w:w="988" w:type="dxa"/>
            <w:vAlign w:val="center"/>
            <w:hideMark/>
          </w:tcPr>
          <w:p w14:paraId="5FAEF3B6" w14:textId="57A0719A"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35</w:t>
            </w:r>
          </w:p>
        </w:tc>
        <w:tc>
          <w:tcPr>
            <w:tcW w:w="990" w:type="dxa"/>
            <w:vAlign w:val="center"/>
            <w:hideMark/>
          </w:tcPr>
          <w:p w14:paraId="55C886F3" w14:textId="5D24B32C"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61.4%</w:t>
            </w:r>
          </w:p>
        </w:tc>
        <w:tc>
          <w:tcPr>
            <w:tcW w:w="987" w:type="dxa"/>
            <w:vAlign w:val="center"/>
            <w:hideMark/>
          </w:tcPr>
          <w:p w14:paraId="08EDFF75" w14:textId="1B89C1DC"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7</w:t>
            </w:r>
          </w:p>
        </w:tc>
        <w:tc>
          <w:tcPr>
            <w:tcW w:w="887" w:type="dxa"/>
            <w:vAlign w:val="center"/>
            <w:hideMark/>
          </w:tcPr>
          <w:p w14:paraId="2D6DE38D" w14:textId="174719DD"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12.3%</w:t>
            </w:r>
          </w:p>
        </w:tc>
        <w:tc>
          <w:tcPr>
            <w:tcW w:w="1147" w:type="dxa"/>
            <w:vAlign w:val="center"/>
            <w:hideMark/>
          </w:tcPr>
          <w:p w14:paraId="6BBF6CF7" w14:textId="335BD5AB"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57</w:t>
            </w:r>
          </w:p>
        </w:tc>
      </w:tr>
      <w:tr w:rsidR="00F00CFF" w:rsidRPr="00D25AB9" w14:paraId="2C8898D4" w14:textId="77777777" w:rsidTr="004A38E8">
        <w:trPr>
          <w:trHeight w:val="300"/>
        </w:trPr>
        <w:tc>
          <w:tcPr>
            <w:cnfStyle w:val="001000000000" w:firstRow="0" w:lastRow="0" w:firstColumn="1" w:lastColumn="0" w:oddVBand="0" w:evenVBand="0" w:oddHBand="0" w:evenHBand="0" w:firstRowFirstColumn="0" w:firstRowLastColumn="0" w:lastRowFirstColumn="0" w:lastRowLastColumn="0"/>
            <w:tcW w:w="2615" w:type="dxa"/>
            <w:hideMark/>
          </w:tcPr>
          <w:p w14:paraId="6596CB05" w14:textId="77777777" w:rsidR="00F00CFF" w:rsidRPr="00D25AB9" w:rsidRDefault="00F00CFF" w:rsidP="00F00CFF">
            <w:pPr>
              <w:spacing w:before="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Māsas palīgi</w:t>
            </w:r>
          </w:p>
        </w:tc>
        <w:tc>
          <w:tcPr>
            <w:tcW w:w="897" w:type="dxa"/>
            <w:vAlign w:val="center"/>
            <w:hideMark/>
          </w:tcPr>
          <w:p w14:paraId="64F767DD" w14:textId="3654F9DF"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5</w:t>
            </w:r>
          </w:p>
        </w:tc>
        <w:tc>
          <w:tcPr>
            <w:tcW w:w="990" w:type="dxa"/>
            <w:vAlign w:val="center"/>
            <w:hideMark/>
          </w:tcPr>
          <w:p w14:paraId="02587C74" w14:textId="02678B7A"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10.9%</w:t>
            </w:r>
          </w:p>
        </w:tc>
        <w:tc>
          <w:tcPr>
            <w:tcW w:w="988" w:type="dxa"/>
            <w:vAlign w:val="center"/>
            <w:hideMark/>
          </w:tcPr>
          <w:p w14:paraId="17AB2896" w14:textId="1A1524B7"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26</w:t>
            </w:r>
          </w:p>
        </w:tc>
        <w:tc>
          <w:tcPr>
            <w:tcW w:w="990" w:type="dxa"/>
            <w:vAlign w:val="center"/>
            <w:hideMark/>
          </w:tcPr>
          <w:p w14:paraId="1C40D00C" w14:textId="61E4D4A5"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56.5%</w:t>
            </w:r>
          </w:p>
        </w:tc>
        <w:tc>
          <w:tcPr>
            <w:tcW w:w="987" w:type="dxa"/>
            <w:vAlign w:val="center"/>
            <w:hideMark/>
          </w:tcPr>
          <w:p w14:paraId="7D7A26C2" w14:textId="07E821C4"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15</w:t>
            </w:r>
          </w:p>
        </w:tc>
        <w:tc>
          <w:tcPr>
            <w:tcW w:w="887" w:type="dxa"/>
            <w:vAlign w:val="center"/>
            <w:hideMark/>
          </w:tcPr>
          <w:p w14:paraId="522DEED7" w14:textId="6F4C9A44"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32.6%</w:t>
            </w:r>
          </w:p>
        </w:tc>
        <w:tc>
          <w:tcPr>
            <w:tcW w:w="1147" w:type="dxa"/>
            <w:vAlign w:val="center"/>
            <w:hideMark/>
          </w:tcPr>
          <w:p w14:paraId="47308C71" w14:textId="37121861" w:rsidR="00F00CFF" w:rsidRPr="00D25AB9" w:rsidRDefault="00F00CFF" w:rsidP="00F00CFF">
            <w:pPr>
              <w:spacing w:befor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hAnsi="Arial Narrow" w:cs="Calibri Light"/>
                <w:sz w:val="22"/>
                <w:szCs w:val="22"/>
              </w:rPr>
              <w:t>46</w:t>
            </w:r>
          </w:p>
        </w:tc>
      </w:tr>
      <w:tr w:rsidR="000A5F9F" w:rsidRPr="00D25AB9" w14:paraId="13932E13" w14:textId="77777777" w:rsidTr="007D1484">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15" w:type="dxa"/>
            <w:hideMark/>
          </w:tcPr>
          <w:p w14:paraId="0F5BC553" w14:textId="77777777" w:rsidR="000A5F9F" w:rsidRPr="00D25AB9" w:rsidRDefault="000A5F9F" w:rsidP="000A5F9F">
            <w:pPr>
              <w:spacing w:before="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KOPĀ</w:t>
            </w:r>
          </w:p>
        </w:tc>
        <w:tc>
          <w:tcPr>
            <w:tcW w:w="897" w:type="dxa"/>
            <w:hideMark/>
          </w:tcPr>
          <w:p w14:paraId="4EADBF7E" w14:textId="03D2D4C3" w:rsidR="000A5F9F" w:rsidRPr="00D25AB9" w:rsidRDefault="00D43E7B" w:rsidP="00F00CFF">
            <w:pPr>
              <w:spacing w:before="0"/>
              <w:jc w:val="center"/>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w:t>
            </w:r>
            <w:r w:rsidR="00F00CFF" w:rsidRPr="00D25AB9">
              <w:rPr>
                <w:rFonts w:ascii="Arial Narrow" w:eastAsia="Times New Roman" w:hAnsi="Arial Narrow" w:cstheme="minorHAnsi"/>
                <w:sz w:val="22"/>
                <w:szCs w:val="22"/>
                <w:lang w:eastAsia="lv-LV"/>
              </w:rPr>
              <w:t>3</w:t>
            </w:r>
          </w:p>
        </w:tc>
        <w:tc>
          <w:tcPr>
            <w:tcW w:w="990" w:type="dxa"/>
            <w:hideMark/>
          </w:tcPr>
          <w:p w14:paraId="7A982368" w14:textId="7D46039D" w:rsidR="000A5F9F" w:rsidRPr="00D25AB9" w:rsidRDefault="00F00CFF" w:rsidP="00F00CFF">
            <w:pPr>
              <w:spacing w:before="0"/>
              <w:jc w:val="center"/>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24,8</w:t>
            </w:r>
            <w:r w:rsidR="000A5F9F" w:rsidRPr="00D25AB9">
              <w:rPr>
                <w:rFonts w:ascii="Arial Narrow" w:eastAsia="Times New Roman" w:hAnsi="Arial Narrow" w:cstheme="minorHAnsi"/>
                <w:sz w:val="22"/>
                <w:szCs w:val="22"/>
                <w:lang w:eastAsia="lv-LV"/>
              </w:rPr>
              <w:t>%</w:t>
            </w:r>
          </w:p>
        </w:tc>
        <w:tc>
          <w:tcPr>
            <w:tcW w:w="988" w:type="dxa"/>
            <w:hideMark/>
          </w:tcPr>
          <w:p w14:paraId="3993366E" w14:textId="04FBD3B9" w:rsidR="000A5F9F" w:rsidRPr="00D25AB9" w:rsidRDefault="00D43E7B" w:rsidP="000A5F9F">
            <w:pPr>
              <w:spacing w:before="0"/>
              <w:jc w:val="center"/>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68</w:t>
            </w:r>
          </w:p>
        </w:tc>
        <w:tc>
          <w:tcPr>
            <w:tcW w:w="990" w:type="dxa"/>
            <w:hideMark/>
          </w:tcPr>
          <w:p w14:paraId="5F9BF84B" w14:textId="4E8AB14D" w:rsidR="000A5F9F" w:rsidRPr="00D25AB9" w:rsidRDefault="00F00CFF" w:rsidP="000A5F9F">
            <w:pPr>
              <w:spacing w:before="0"/>
              <w:jc w:val="center"/>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51,1</w:t>
            </w:r>
            <w:r w:rsidR="000A5F9F" w:rsidRPr="00D25AB9">
              <w:rPr>
                <w:rFonts w:ascii="Arial Narrow" w:eastAsia="Times New Roman" w:hAnsi="Arial Narrow" w:cstheme="minorHAnsi"/>
                <w:sz w:val="22"/>
                <w:szCs w:val="22"/>
                <w:lang w:eastAsia="lv-LV"/>
              </w:rPr>
              <w:t>%</w:t>
            </w:r>
          </w:p>
        </w:tc>
        <w:tc>
          <w:tcPr>
            <w:tcW w:w="987" w:type="dxa"/>
            <w:hideMark/>
          </w:tcPr>
          <w:p w14:paraId="7D914962" w14:textId="37244B88" w:rsidR="000A5F9F" w:rsidRPr="00D25AB9" w:rsidRDefault="00D43E7B" w:rsidP="000A5F9F">
            <w:pPr>
              <w:spacing w:before="0"/>
              <w:jc w:val="center"/>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32</w:t>
            </w:r>
          </w:p>
        </w:tc>
        <w:tc>
          <w:tcPr>
            <w:tcW w:w="887" w:type="dxa"/>
            <w:hideMark/>
          </w:tcPr>
          <w:p w14:paraId="49B92345" w14:textId="13773BDB" w:rsidR="000A5F9F" w:rsidRPr="00D25AB9" w:rsidRDefault="00F00CFF" w:rsidP="00D43E7B">
            <w:pPr>
              <w:spacing w:before="0"/>
              <w:jc w:val="center"/>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24,1</w:t>
            </w:r>
            <w:r w:rsidR="000A5F9F" w:rsidRPr="00D25AB9">
              <w:rPr>
                <w:rFonts w:ascii="Arial Narrow" w:eastAsia="Times New Roman" w:hAnsi="Arial Narrow" w:cstheme="minorHAnsi"/>
                <w:sz w:val="22"/>
                <w:szCs w:val="22"/>
                <w:lang w:eastAsia="lv-LV"/>
              </w:rPr>
              <w:t>%</w:t>
            </w:r>
          </w:p>
        </w:tc>
        <w:tc>
          <w:tcPr>
            <w:tcW w:w="1147" w:type="dxa"/>
            <w:hideMark/>
          </w:tcPr>
          <w:p w14:paraId="5E8AF2D8" w14:textId="4E843684" w:rsidR="000A5F9F" w:rsidRPr="00D25AB9" w:rsidRDefault="00D43E7B" w:rsidP="007D1484">
            <w:pPr>
              <w:spacing w:before="0"/>
              <w:jc w:val="center"/>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theme="minorHAnsi"/>
                <w:sz w:val="22"/>
                <w:szCs w:val="22"/>
                <w:lang w:eastAsia="lv-LV"/>
              </w:rPr>
            </w:pPr>
            <w:r w:rsidRPr="00D25AB9">
              <w:rPr>
                <w:rFonts w:ascii="Arial Narrow" w:eastAsia="Times New Roman" w:hAnsi="Arial Narrow" w:cstheme="minorHAnsi"/>
                <w:sz w:val="22"/>
                <w:szCs w:val="22"/>
                <w:lang w:eastAsia="lv-LV"/>
              </w:rPr>
              <w:t>13</w:t>
            </w:r>
            <w:r w:rsidR="007D1484" w:rsidRPr="00D25AB9">
              <w:rPr>
                <w:rFonts w:ascii="Arial Narrow" w:eastAsia="Times New Roman" w:hAnsi="Arial Narrow" w:cstheme="minorHAnsi"/>
                <w:sz w:val="22"/>
                <w:szCs w:val="22"/>
                <w:lang w:eastAsia="lv-LV"/>
              </w:rPr>
              <w:t>3</w:t>
            </w:r>
          </w:p>
        </w:tc>
      </w:tr>
    </w:tbl>
    <w:p w14:paraId="7EB954B6" w14:textId="6B4AD33C" w:rsidR="00C912BF" w:rsidRPr="00D25AB9" w:rsidRDefault="000D18EF" w:rsidP="00131E43">
      <w:pPr>
        <w:rPr>
          <w:rFonts w:ascii="Arial Narrow" w:hAnsi="Arial Narrow" w:cstheme="minorHAnsi"/>
        </w:rPr>
      </w:pPr>
      <w:r w:rsidRPr="00D25AB9">
        <w:rPr>
          <w:rFonts w:ascii="Arial Narrow" w:hAnsi="Arial Narrow" w:cstheme="minorHAnsi"/>
        </w:rPr>
        <w:t xml:space="preserve">Slimnīcā </w:t>
      </w:r>
      <w:r w:rsidR="00C912BF" w:rsidRPr="00D25AB9">
        <w:rPr>
          <w:rFonts w:ascii="Arial Narrow" w:hAnsi="Arial Narrow" w:cstheme="minorHAnsi"/>
        </w:rPr>
        <w:t>202</w:t>
      </w:r>
      <w:r w:rsidR="00D43E7B" w:rsidRPr="00D25AB9">
        <w:rPr>
          <w:rFonts w:ascii="Arial Narrow" w:hAnsi="Arial Narrow" w:cstheme="minorHAnsi"/>
        </w:rPr>
        <w:t>5</w:t>
      </w:r>
      <w:r w:rsidR="00C912BF" w:rsidRPr="00D25AB9">
        <w:rPr>
          <w:rFonts w:ascii="Arial Narrow" w:hAnsi="Arial Narrow" w:cstheme="minorHAnsi"/>
        </w:rPr>
        <w:t>.gad</w:t>
      </w:r>
      <w:r w:rsidRPr="00D25AB9">
        <w:rPr>
          <w:rFonts w:ascii="Arial Narrow" w:hAnsi="Arial Narrow" w:cstheme="minorHAnsi"/>
        </w:rPr>
        <w:t>ā</w:t>
      </w:r>
      <w:r w:rsidR="00C912BF" w:rsidRPr="00D25AB9">
        <w:rPr>
          <w:rFonts w:ascii="Arial Narrow" w:hAnsi="Arial Narrow" w:cstheme="minorHAnsi"/>
        </w:rPr>
        <w:t xml:space="preserve"> </w:t>
      </w:r>
      <w:r w:rsidR="004A38E8" w:rsidRPr="00D25AB9">
        <w:rPr>
          <w:rFonts w:ascii="Arial Narrow" w:hAnsi="Arial Narrow" w:cstheme="minorHAnsi"/>
        </w:rPr>
        <w:t>6</w:t>
      </w:r>
      <w:r w:rsidR="00F35CDD" w:rsidRPr="00D25AB9">
        <w:rPr>
          <w:rFonts w:ascii="Arial Narrow" w:hAnsi="Arial Narrow" w:cstheme="minorHAnsi"/>
        </w:rPr>
        <w:t xml:space="preserve"> mēnešos </w:t>
      </w:r>
      <w:r w:rsidRPr="00D25AB9">
        <w:rPr>
          <w:rFonts w:ascii="Arial Narrow" w:hAnsi="Arial Narrow" w:cstheme="minorHAnsi"/>
        </w:rPr>
        <w:t xml:space="preserve">par </w:t>
      </w:r>
      <w:r w:rsidR="004A38E8" w:rsidRPr="00D25AB9">
        <w:rPr>
          <w:rFonts w:ascii="Arial Narrow" w:hAnsi="Arial Narrow" w:cstheme="minorHAnsi"/>
        </w:rPr>
        <w:t>0,15</w:t>
      </w:r>
      <w:r w:rsidRPr="00D25AB9">
        <w:rPr>
          <w:rFonts w:ascii="Arial Narrow" w:hAnsi="Arial Narrow" w:cstheme="minorHAnsi"/>
        </w:rPr>
        <w:t xml:space="preserve"> % </w:t>
      </w:r>
      <w:r w:rsidR="004A38E8" w:rsidRPr="00D25AB9">
        <w:rPr>
          <w:rFonts w:ascii="Arial Narrow" w:hAnsi="Arial Narrow" w:cstheme="minorHAnsi"/>
        </w:rPr>
        <w:t>palielinājies</w:t>
      </w:r>
      <w:r w:rsidR="00C912BF" w:rsidRPr="00D25AB9">
        <w:rPr>
          <w:rFonts w:ascii="Arial Narrow" w:hAnsi="Arial Narrow" w:cstheme="minorHAnsi"/>
        </w:rPr>
        <w:t xml:space="preserve"> 25 līdz 40 gadus veco ārstniecības personu īpatsvars no kopējā ārstniecības personu.</w:t>
      </w:r>
      <w:r w:rsidR="00D460F7" w:rsidRPr="00D25AB9">
        <w:rPr>
          <w:rFonts w:ascii="Arial Narrow" w:hAnsi="Arial Narrow" w:cstheme="minorHAnsi"/>
        </w:rPr>
        <w:t xml:space="preserve"> </w:t>
      </w:r>
      <w:r w:rsidR="00C912BF" w:rsidRPr="00D25AB9">
        <w:rPr>
          <w:rFonts w:ascii="Arial Narrow" w:hAnsi="Arial Narrow" w:cstheme="minorHAnsi"/>
        </w:rPr>
        <w:t xml:space="preserve">Ārstniecības personu īpatsvars vecuma grupā no 41 līdz 59 gadiem ir par </w:t>
      </w:r>
      <w:r w:rsidR="004A38E8" w:rsidRPr="00D25AB9">
        <w:rPr>
          <w:rFonts w:ascii="Arial Narrow" w:hAnsi="Arial Narrow" w:cstheme="minorHAnsi"/>
        </w:rPr>
        <w:t>3,59</w:t>
      </w:r>
      <w:r w:rsidR="00F50B00" w:rsidRPr="00D25AB9">
        <w:rPr>
          <w:rFonts w:ascii="Arial Narrow" w:hAnsi="Arial Narrow" w:cstheme="minorHAnsi"/>
        </w:rPr>
        <w:t xml:space="preserve"> </w:t>
      </w:r>
      <w:r w:rsidR="00C912BF" w:rsidRPr="00D25AB9">
        <w:rPr>
          <w:rFonts w:ascii="Arial Narrow" w:hAnsi="Arial Narrow" w:cstheme="minorHAnsi"/>
        </w:rPr>
        <w:t xml:space="preserve">% </w:t>
      </w:r>
      <w:r w:rsidR="00F35CDD" w:rsidRPr="00D25AB9">
        <w:rPr>
          <w:rFonts w:ascii="Arial Narrow" w:hAnsi="Arial Narrow" w:cstheme="minorHAnsi"/>
        </w:rPr>
        <w:t>mazāk</w:t>
      </w:r>
      <w:r w:rsidR="00C912BF" w:rsidRPr="00D25AB9">
        <w:rPr>
          <w:rFonts w:ascii="Arial Narrow" w:hAnsi="Arial Narrow" w:cstheme="minorHAnsi"/>
        </w:rPr>
        <w:t xml:space="preserve"> kā 202</w:t>
      </w:r>
      <w:r w:rsidR="00F35CDD" w:rsidRPr="00D25AB9">
        <w:rPr>
          <w:rFonts w:ascii="Arial Narrow" w:hAnsi="Arial Narrow" w:cstheme="minorHAnsi"/>
        </w:rPr>
        <w:t>4</w:t>
      </w:r>
      <w:r w:rsidR="00C912BF" w:rsidRPr="00D25AB9">
        <w:rPr>
          <w:rFonts w:ascii="Arial Narrow" w:hAnsi="Arial Narrow" w:cstheme="minorHAnsi"/>
        </w:rPr>
        <w:t xml:space="preserve">. gada </w:t>
      </w:r>
      <w:r w:rsidR="004A38E8" w:rsidRPr="00D25AB9">
        <w:rPr>
          <w:rFonts w:ascii="Arial Narrow" w:hAnsi="Arial Narrow" w:cstheme="minorHAnsi"/>
        </w:rPr>
        <w:t>6</w:t>
      </w:r>
      <w:r w:rsidR="00C912BF" w:rsidRPr="00D25AB9">
        <w:rPr>
          <w:rFonts w:ascii="Arial Narrow" w:hAnsi="Arial Narrow" w:cstheme="minorHAnsi"/>
        </w:rPr>
        <w:t xml:space="preserve"> mēnešos</w:t>
      </w:r>
      <w:r w:rsidR="009D561C" w:rsidRPr="00D25AB9">
        <w:rPr>
          <w:rFonts w:ascii="Arial Narrow" w:hAnsi="Arial Narrow" w:cstheme="minorHAnsi"/>
        </w:rPr>
        <w:t>, savukārt n</w:t>
      </w:r>
      <w:r w:rsidR="00C912BF" w:rsidRPr="00D25AB9">
        <w:rPr>
          <w:rFonts w:ascii="Arial Narrow" w:hAnsi="Arial Narrow" w:cstheme="minorHAnsi"/>
        </w:rPr>
        <w:t xml:space="preserve">odarbināto ārstniecības personu vecuma grupā virs 60 gadiem </w:t>
      </w:r>
      <w:r w:rsidR="00F35CDD" w:rsidRPr="00D25AB9">
        <w:rPr>
          <w:rFonts w:ascii="Arial Narrow" w:hAnsi="Arial Narrow" w:cstheme="minorHAnsi"/>
        </w:rPr>
        <w:t xml:space="preserve">ir par </w:t>
      </w:r>
      <w:r w:rsidR="004A38E8" w:rsidRPr="00D25AB9">
        <w:rPr>
          <w:rFonts w:ascii="Arial Narrow" w:hAnsi="Arial Narrow" w:cstheme="minorHAnsi"/>
        </w:rPr>
        <w:t>3,54</w:t>
      </w:r>
      <w:r w:rsidR="00F35CDD" w:rsidRPr="00D25AB9">
        <w:rPr>
          <w:rFonts w:ascii="Arial Narrow" w:hAnsi="Arial Narrow" w:cstheme="minorHAnsi"/>
        </w:rPr>
        <w:t xml:space="preserve">% vairāk kā 2024.gada </w:t>
      </w:r>
      <w:r w:rsidR="004A38E8" w:rsidRPr="00D25AB9">
        <w:rPr>
          <w:rFonts w:ascii="Arial Narrow" w:hAnsi="Arial Narrow" w:cstheme="minorHAnsi"/>
        </w:rPr>
        <w:t>sešos</w:t>
      </w:r>
      <w:r w:rsidR="00F35CDD" w:rsidRPr="00D25AB9">
        <w:rPr>
          <w:rFonts w:ascii="Arial Narrow" w:hAnsi="Arial Narrow" w:cstheme="minorHAnsi"/>
        </w:rPr>
        <w:t xml:space="preserve"> mēnešos.</w:t>
      </w:r>
    </w:p>
    <w:p w14:paraId="39255D60" w14:textId="338DD7AC" w:rsidR="004A38E8" w:rsidRPr="00D25AB9" w:rsidRDefault="004A38E8" w:rsidP="004A38E8">
      <w:pPr>
        <w:widowControl w:val="0"/>
        <w:spacing w:after="240"/>
        <w:ind w:firstLine="340"/>
        <w:rPr>
          <w:rFonts w:ascii="Arial Narrow" w:hAnsi="Arial Narrow" w:cstheme="minorHAnsi"/>
        </w:rPr>
      </w:pPr>
      <w:r w:rsidRPr="00D25AB9">
        <w:rPr>
          <w:rFonts w:ascii="Arial Narrow" w:hAnsi="Arial Narrow" w:cstheme="minorHAnsi"/>
        </w:rPr>
        <w:t xml:space="preserve">Lai risinātu ārstu novecošanās problēmu, tiek meklētas iespējas piesaistīt jaunos speciālistus. Pašlaik Slimnīcā nodarbināts viens ārsts, kurš psihiatra kvalifikāciju ieguvis 2025.gada februārī, un viena ārste, kas psihiatra kvalifikāciju ieguvusi 2024.gadā, – abi šie speciālisti studēja Rīgas Stradiņa universitātē ar Liepājas </w:t>
      </w:r>
      <w:proofErr w:type="spellStart"/>
      <w:r w:rsidRPr="00D25AB9">
        <w:rPr>
          <w:rFonts w:ascii="Arial Narrow" w:hAnsi="Arial Narrow" w:cstheme="minorHAnsi"/>
        </w:rPr>
        <w:t>valstspilsētas</w:t>
      </w:r>
      <w:proofErr w:type="spellEnd"/>
      <w:r w:rsidRPr="00D25AB9">
        <w:rPr>
          <w:rFonts w:ascii="Arial Narrow" w:hAnsi="Arial Narrow" w:cstheme="minorHAnsi"/>
        </w:rPr>
        <w:t xml:space="preserve"> domes stipendijām un viņiem bija garantēta darba vieta Slimnīcā pēc sekmīgas studiju absolvēšanas.  Kopš 2023.gada otrās puses Slimnīcā strādā arī ārsts no Ukrainas ar psihiatra un narkologa kvalifikācijām, kā arī Slimnīcai ir noslēgts līgums ar Rīgas Stradiņa universitātē</w:t>
      </w:r>
      <w:r w:rsidR="00394371">
        <w:rPr>
          <w:rFonts w:ascii="Arial Narrow" w:hAnsi="Arial Narrow" w:cstheme="minorHAnsi"/>
        </w:rPr>
        <w:t>,</w:t>
      </w:r>
      <w:r w:rsidRPr="00D25AB9">
        <w:rPr>
          <w:rFonts w:ascii="Arial Narrow" w:hAnsi="Arial Narrow" w:cstheme="minorHAnsi"/>
        </w:rPr>
        <w:t xml:space="preserve"> bērnu psihiatra specialitātē</w:t>
      </w:r>
      <w:r w:rsidR="00394371">
        <w:rPr>
          <w:rFonts w:ascii="Arial Narrow" w:hAnsi="Arial Narrow" w:cstheme="minorHAnsi"/>
        </w:rPr>
        <w:t>,</w:t>
      </w:r>
      <w:r w:rsidRPr="00D25AB9">
        <w:rPr>
          <w:rFonts w:ascii="Arial Narrow" w:hAnsi="Arial Narrow" w:cstheme="minorHAnsi"/>
        </w:rPr>
        <w:t xml:space="preserve"> studējošu rezidenti.</w:t>
      </w:r>
    </w:p>
    <w:p w14:paraId="63ED17EB" w14:textId="77777777" w:rsidR="00C912BF" w:rsidRPr="00D25AB9" w:rsidRDefault="00C912BF" w:rsidP="00E7197A">
      <w:pPr>
        <w:pStyle w:val="Heading2"/>
        <w:rPr>
          <w:rFonts w:ascii="Arial Narrow" w:hAnsi="Arial Narrow" w:cstheme="minorHAnsi"/>
        </w:rPr>
      </w:pPr>
      <w:r w:rsidRPr="00D25AB9">
        <w:rPr>
          <w:rFonts w:ascii="Arial Narrow" w:hAnsi="Arial Narrow" w:cstheme="minorHAnsi"/>
        </w:rPr>
        <w:t>Virsstundu darba rādītāji</w:t>
      </w:r>
    </w:p>
    <w:p w14:paraId="049A368D" w14:textId="77777777" w:rsidR="004A38E8" w:rsidRPr="00D25AB9" w:rsidRDefault="004A38E8" w:rsidP="004A38E8">
      <w:pPr>
        <w:widowControl w:val="0"/>
        <w:spacing w:after="0"/>
        <w:rPr>
          <w:rFonts w:ascii="Arial Narrow" w:hAnsi="Arial Narrow" w:cstheme="minorHAnsi"/>
        </w:rPr>
      </w:pPr>
      <w:r w:rsidRPr="00D25AB9">
        <w:rPr>
          <w:rFonts w:ascii="Arial Narrow" w:hAnsi="Arial Narrow" w:cstheme="minorHAnsi"/>
        </w:rPr>
        <w:t xml:space="preserve">Lai Slimnīcā nodrošinātu Uzņemšanas nodaļas un pacientu aprūpes darbu diennakts režīmā un kompensētu </w:t>
      </w:r>
      <w:r w:rsidRPr="00D25AB9">
        <w:rPr>
          <w:rFonts w:ascii="Arial Narrow" w:hAnsi="Arial Narrow" w:cstheme="minorHAnsi"/>
        </w:rPr>
        <w:lastRenderedPageBreak/>
        <w:t>nepietiekamo dežūrārstu skaitu, daļa Slimnīcā nodarbināto ārstu ik mēnesi veic virsstundu darbu. 2025. gada sešos mēnešos ir nostrādātas vidēji 71,67</w:t>
      </w:r>
      <w:r w:rsidRPr="00D25AB9">
        <w:rPr>
          <w:rFonts w:ascii="Arial Narrow" w:hAnsi="Arial Narrow" w:cstheme="minorHAnsi"/>
          <w:b/>
        </w:rPr>
        <w:t xml:space="preserve"> </w:t>
      </w:r>
      <w:r w:rsidRPr="00D25AB9">
        <w:rPr>
          <w:rFonts w:ascii="Arial Narrow" w:hAnsi="Arial Narrow" w:cstheme="minorHAnsi"/>
        </w:rPr>
        <w:t xml:space="preserve">virsstundas uz vienu virsstundu darbā nodarbināto ārstu, un virsstundu darbā nodarbināto ārstu īpatsvars ir 38.54 % no kopējā ārstu skaita. </w:t>
      </w:r>
    </w:p>
    <w:p w14:paraId="2B2B6DC1" w14:textId="77777777" w:rsidR="004A38E8" w:rsidRPr="00D25AB9" w:rsidRDefault="004A38E8" w:rsidP="004A38E8">
      <w:pPr>
        <w:widowControl w:val="0"/>
        <w:spacing w:after="0"/>
        <w:rPr>
          <w:rFonts w:ascii="Arial Narrow" w:hAnsi="Arial Narrow" w:cstheme="minorHAnsi"/>
        </w:rPr>
      </w:pPr>
      <w:r w:rsidRPr="00D25AB9">
        <w:rPr>
          <w:rFonts w:ascii="Arial Narrow" w:hAnsi="Arial Narrow" w:cstheme="minorHAnsi"/>
        </w:rPr>
        <w:t>Vidējais virsstundu skaits uz vienu virsstundu darbā nodarbināto ārstniecības personu  2025.gada sešos mēnešos ir 45,48 stundas, un ārstniecības personu, kas veic virsstundu darbu, īpatsvars no kopējā ārstniecības personu skaita šajā periodā ir 8,55 % .</w:t>
      </w:r>
    </w:p>
    <w:p w14:paraId="71322779" w14:textId="77777777" w:rsidR="00C912BF" w:rsidRPr="00D25AB9" w:rsidRDefault="00C912BF" w:rsidP="00E7197A">
      <w:pPr>
        <w:pStyle w:val="Heading2"/>
        <w:rPr>
          <w:rFonts w:ascii="Arial Narrow" w:hAnsi="Arial Narrow" w:cstheme="minorHAnsi"/>
        </w:rPr>
      </w:pPr>
      <w:r w:rsidRPr="00D25AB9">
        <w:rPr>
          <w:rFonts w:ascii="Arial Narrow" w:hAnsi="Arial Narrow" w:cstheme="minorHAnsi"/>
        </w:rPr>
        <w:t>Kvalifikācijas paaugstināšana un tālākizglītība</w:t>
      </w:r>
    </w:p>
    <w:p w14:paraId="649DFF70" w14:textId="77777777" w:rsidR="004A38E8" w:rsidRPr="00D25AB9" w:rsidRDefault="004A38E8" w:rsidP="004A38E8">
      <w:pPr>
        <w:widowControl w:val="0"/>
        <w:spacing w:after="0"/>
        <w:rPr>
          <w:rFonts w:ascii="Arial Narrow" w:hAnsi="Arial Narrow" w:cstheme="minorHAnsi"/>
        </w:rPr>
      </w:pPr>
      <w:r w:rsidRPr="00D25AB9">
        <w:rPr>
          <w:rFonts w:ascii="Arial Narrow" w:hAnsi="Arial Narrow" w:cstheme="minorHAnsi"/>
        </w:rPr>
        <w:t xml:space="preserve">Ārstiem, funkcionālajiem speciālistiem, māsām un māsu palīgiem ir svarīgi nodrošināt pastāvīgu tālākizglītību, lai </w:t>
      </w:r>
      <w:r w:rsidRPr="00D25AB9">
        <w:rPr>
          <w:rFonts w:ascii="Arial Narrow" w:eastAsia="Times New Roman" w:hAnsi="Arial Narrow" w:cstheme="minorHAnsi"/>
          <w:lang w:eastAsia="lv-LV"/>
        </w:rPr>
        <w:t xml:space="preserve">uzlabotu </w:t>
      </w:r>
      <w:r w:rsidRPr="00D25AB9">
        <w:rPr>
          <w:rFonts w:ascii="Arial Narrow" w:hAnsi="Arial Narrow" w:cstheme="minorHAnsi"/>
          <w:lang w:eastAsia="lv-LV"/>
        </w:rPr>
        <w:t xml:space="preserve">darba pienākumu pildīšanai </w:t>
      </w:r>
      <w:r w:rsidRPr="00D25AB9">
        <w:rPr>
          <w:rFonts w:ascii="Arial Narrow" w:eastAsia="Times New Roman" w:hAnsi="Arial Narrow" w:cstheme="minorHAnsi"/>
          <w:lang w:eastAsia="lv-LV"/>
        </w:rPr>
        <w:t>nepieciešamās iemaņas un zināšanas</w:t>
      </w:r>
      <w:r w:rsidRPr="00D25AB9">
        <w:rPr>
          <w:rFonts w:ascii="Arial Narrow" w:hAnsi="Arial Narrow" w:cstheme="minorHAnsi"/>
          <w:lang w:eastAsia="lv-LV"/>
        </w:rPr>
        <w:t xml:space="preserve"> vai apgūtu inovatīvas darba metodes</w:t>
      </w:r>
      <w:r w:rsidRPr="00D25AB9">
        <w:rPr>
          <w:rFonts w:ascii="Arial Narrow" w:hAnsi="Arial Narrow" w:cstheme="minorHAnsi"/>
        </w:rPr>
        <w:t xml:space="preserve"> un sniegtu kvalificētus ārstniecības un aprūpes pakalpojumus. Ārstniecības un pacientu aprūpes personāls regulāri piedalās profesionālo asociāciju un apvienību rīkotajos tālākizglītības pasākumos, kā arī šādi pasākumi (mācības) periodiski tiek rīkoti Slimnīcā, nodrošinot darbiniekiem iespēju papildināt un aktualizēt profesionālās zināšanas un iemaņas tuvu dzīvesvietai.</w:t>
      </w:r>
    </w:p>
    <w:p w14:paraId="1C5D5BB5" w14:textId="77777777" w:rsidR="004A38E8" w:rsidRPr="00D25AB9" w:rsidRDefault="004A38E8" w:rsidP="004A38E8">
      <w:pPr>
        <w:widowControl w:val="0"/>
        <w:spacing w:after="0"/>
        <w:rPr>
          <w:rFonts w:ascii="Arial Narrow" w:hAnsi="Arial Narrow" w:cstheme="minorHAnsi"/>
        </w:rPr>
      </w:pPr>
      <w:r w:rsidRPr="00D25AB9">
        <w:rPr>
          <w:rFonts w:ascii="Arial Narrow" w:hAnsi="Arial Narrow" w:cstheme="minorHAnsi"/>
        </w:rPr>
        <w:t>Pēdējos piecos gados Slimnīcā nodarbinātie sanitāri aktīvi izmanto iespēju mācīties Rīgas Stradiņa universitātes Sarkanā Krusta medicīnas koledžā un iegūt māsas palīga kvalifikāciju. Laikā no 2019. līdz 2024. gadam māsas palīga kvalifikāciju ir ieguvuši 25 Slimnīcā nodarbinātie sanitāri.  2024./2025. mācību gadā vēl seši sanitāri uzsākuši mācības māsas palīga kvalifikācijas iegūšanai.</w:t>
      </w:r>
    </w:p>
    <w:p w14:paraId="4493F76F" w14:textId="77777777" w:rsidR="004A38E8" w:rsidRPr="00D25AB9" w:rsidRDefault="004A38E8" w:rsidP="004A38E8">
      <w:pPr>
        <w:widowControl w:val="0"/>
        <w:spacing w:after="0"/>
        <w:rPr>
          <w:rFonts w:ascii="Arial Narrow" w:hAnsi="Arial Narrow" w:cstheme="minorHAnsi"/>
        </w:rPr>
      </w:pPr>
      <w:r w:rsidRPr="00D25AB9">
        <w:rPr>
          <w:rFonts w:ascii="Arial Narrow" w:hAnsi="Arial Narrow" w:cstheme="minorHAnsi"/>
        </w:rPr>
        <w:t xml:space="preserve">Slimnīcas galvenā ārste turpina izglītību Rīgas Stradiņa universitātes doktorantūras studijās. </w:t>
      </w:r>
    </w:p>
    <w:p w14:paraId="637223DB" w14:textId="77777777" w:rsidR="00C912BF" w:rsidRPr="00D25AB9" w:rsidRDefault="00C912BF" w:rsidP="00E7197A">
      <w:pPr>
        <w:pStyle w:val="Heading1"/>
        <w:rPr>
          <w:rFonts w:ascii="Arial Narrow" w:hAnsi="Arial Narrow" w:cstheme="minorHAnsi"/>
        </w:rPr>
      </w:pPr>
      <w:r w:rsidRPr="00D25AB9">
        <w:rPr>
          <w:rFonts w:ascii="Arial Narrow" w:hAnsi="Arial Narrow" w:cstheme="minorHAnsi"/>
        </w:rPr>
        <w:t>Ieteikumi turpmākās darbības uzlabošanai un risku mazināšanai</w:t>
      </w:r>
    </w:p>
    <w:p w14:paraId="2FDEE7CB" w14:textId="433C5109" w:rsidR="00D04156" w:rsidRPr="00D25AB9" w:rsidRDefault="001244E8" w:rsidP="001244E8">
      <w:pPr>
        <w:rPr>
          <w:rFonts w:ascii="Arial Narrow" w:hAnsi="Arial Narrow" w:cstheme="minorHAnsi"/>
          <w:color w:val="000000" w:themeColor="text1"/>
        </w:rPr>
      </w:pPr>
      <w:r w:rsidRPr="00D25AB9">
        <w:rPr>
          <w:rFonts w:ascii="Arial Narrow" w:hAnsi="Arial Narrow" w:cstheme="minorHAnsi"/>
          <w:color w:val="000000" w:themeColor="text1"/>
        </w:rPr>
        <w:t>Lai uzlabotu Slimnīcas darbību un mazinātu Slimnīcas darbību ietekmējošos riska faktorus, 2025.gadā plānots realizēt sekojošos pasākumus:</w:t>
      </w:r>
    </w:p>
    <w:p w14:paraId="28C8F929" w14:textId="410B5DEE" w:rsidR="003254EC" w:rsidRPr="009758AA" w:rsidRDefault="003254EC" w:rsidP="004420B9">
      <w:pPr>
        <w:pStyle w:val="ListParagraph"/>
        <w:numPr>
          <w:ilvl w:val="0"/>
          <w:numId w:val="7"/>
        </w:numPr>
        <w:rPr>
          <w:rFonts w:ascii="Arial Narrow" w:hAnsi="Arial Narrow" w:cstheme="minorHAnsi"/>
        </w:rPr>
      </w:pPr>
      <w:r w:rsidRPr="009758AA">
        <w:rPr>
          <w:rFonts w:ascii="Arial Narrow" w:hAnsi="Arial Narrow" w:cstheme="minorHAnsi"/>
        </w:rPr>
        <w:t>Plānots pārskatīt narkoloģijas profila pakalpojumu sniegšanai novirzītos resursus, pēc iespējas nodrošinot, ka pakalpojuma ieņēmumi nosedz vismaz ar pakalpojumu sniegšanu saistītās tiešās izmaksas, tai skaitā funkciju un resursu pārdali starp Uzņemšanas nodaļu.</w:t>
      </w:r>
    </w:p>
    <w:p w14:paraId="52D5955D" w14:textId="48770BF6" w:rsidR="004B0054" w:rsidRDefault="00282AF2" w:rsidP="004420B9">
      <w:pPr>
        <w:pStyle w:val="ListParagraph"/>
        <w:numPr>
          <w:ilvl w:val="0"/>
          <w:numId w:val="7"/>
        </w:numPr>
        <w:rPr>
          <w:rFonts w:ascii="Arial Narrow" w:hAnsi="Arial Narrow" w:cstheme="minorHAnsi"/>
        </w:rPr>
      </w:pPr>
      <w:r>
        <w:rPr>
          <w:rFonts w:ascii="Arial Narrow" w:hAnsi="Arial Narrow" w:cstheme="minorHAnsi"/>
        </w:rPr>
        <w:t>Izvērtēt iespēju i</w:t>
      </w:r>
      <w:r w:rsidR="004B0054" w:rsidRPr="009758AA">
        <w:rPr>
          <w:rFonts w:ascii="Arial Narrow" w:hAnsi="Arial Narrow" w:cstheme="minorHAnsi"/>
        </w:rPr>
        <w:t xml:space="preserve">ekļaut Slimnīcas sniegto pakalpojumu klāstā </w:t>
      </w:r>
      <w:r w:rsidR="003254EC" w:rsidRPr="009758AA">
        <w:rPr>
          <w:rFonts w:ascii="Arial Narrow" w:hAnsi="Arial Narrow" w:cstheme="minorHAnsi"/>
        </w:rPr>
        <w:t xml:space="preserve">papildus </w:t>
      </w:r>
      <w:r w:rsidR="004B0054" w:rsidRPr="009758AA">
        <w:rPr>
          <w:rFonts w:ascii="Arial Narrow" w:hAnsi="Arial Narrow" w:cstheme="minorHAnsi"/>
        </w:rPr>
        <w:t>Ambulatoros un stacionāros narkoloģijas ārstniecības pakalpojumus,</w:t>
      </w:r>
      <w:r w:rsidR="003254EC" w:rsidRPr="009758AA">
        <w:rPr>
          <w:rFonts w:ascii="Arial Narrow" w:hAnsi="Arial Narrow" w:cstheme="minorHAnsi"/>
        </w:rPr>
        <w:t xml:space="preserve"> pēc iespējas piesaistot valsts finansējumu.</w:t>
      </w:r>
    </w:p>
    <w:p w14:paraId="1A12C7E4" w14:textId="352B5456" w:rsidR="00282AF2" w:rsidRPr="009758AA" w:rsidRDefault="00282AF2" w:rsidP="004420B9">
      <w:pPr>
        <w:pStyle w:val="ListParagraph"/>
        <w:numPr>
          <w:ilvl w:val="0"/>
          <w:numId w:val="7"/>
        </w:numPr>
        <w:rPr>
          <w:rFonts w:ascii="Arial Narrow" w:hAnsi="Arial Narrow" w:cstheme="minorHAnsi"/>
        </w:rPr>
      </w:pPr>
      <w:r>
        <w:rPr>
          <w:rFonts w:ascii="Arial Narrow" w:hAnsi="Arial Narrow" w:cstheme="minorHAnsi"/>
        </w:rPr>
        <w:t xml:space="preserve">Reorganizēt pacientu Uzņemšanas nodaļas darbu, pārceļot </w:t>
      </w:r>
      <w:r w:rsidRPr="00D25AB9">
        <w:rPr>
          <w:rFonts w:ascii="Arial Narrow" w:hAnsi="Arial Narrow"/>
        </w:rPr>
        <w:t>nodaļu uz atsevišķu ēku un rezultātā nodrošinot pakalpojumu pieejamību lielākam pacientu skaitam, tai skaitā palielinot observācijas pakalpojumu pieejamību</w:t>
      </w:r>
      <w:r>
        <w:rPr>
          <w:rFonts w:ascii="Arial Narrow" w:hAnsi="Arial Narrow"/>
        </w:rPr>
        <w:t>. Risināt jautājumus par personāla pārstrukturizēšanu</w:t>
      </w:r>
      <w:r w:rsidR="007D5E76">
        <w:rPr>
          <w:rFonts w:ascii="Arial Narrow" w:hAnsi="Arial Narrow"/>
        </w:rPr>
        <w:t xml:space="preserve"> gan no esošās uzņemšanas nodaļas, gan no citām nodaļām</w:t>
      </w:r>
      <w:r>
        <w:rPr>
          <w:rFonts w:ascii="Arial Narrow" w:hAnsi="Arial Narrow"/>
        </w:rPr>
        <w:t xml:space="preserve">, kā arī </w:t>
      </w:r>
      <w:r w:rsidR="007D5E76">
        <w:rPr>
          <w:rFonts w:ascii="Arial Narrow" w:hAnsi="Arial Narrow"/>
        </w:rPr>
        <w:t xml:space="preserve">piesaistot </w:t>
      </w:r>
      <w:r>
        <w:rPr>
          <w:rFonts w:ascii="Arial Narrow" w:hAnsi="Arial Narrow"/>
        </w:rPr>
        <w:t>papildus personāl</w:t>
      </w:r>
      <w:r w:rsidR="007D5E76">
        <w:rPr>
          <w:rFonts w:ascii="Arial Narrow" w:hAnsi="Arial Narrow"/>
        </w:rPr>
        <w:t>u</w:t>
      </w:r>
      <w:r>
        <w:rPr>
          <w:rFonts w:ascii="Arial Narrow" w:hAnsi="Arial Narrow"/>
        </w:rPr>
        <w:t xml:space="preserve">. </w:t>
      </w:r>
    </w:p>
    <w:p w14:paraId="7AFA5B63" w14:textId="4BD6A5AE" w:rsidR="009758AA" w:rsidRPr="009758AA" w:rsidRDefault="69630B24" w:rsidP="009758AA">
      <w:pPr>
        <w:pStyle w:val="ListParagraph"/>
        <w:numPr>
          <w:ilvl w:val="0"/>
          <w:numId w:val="7"/>
        </w:numPr>
        <w:rPr>
          <w:rFonts w:ascii="Arial Narrow" w:hAnsi="Arial Narrow" w:cstheme="minorHAnsi"/>
          <w:color w:val="000000" w:themeColor="text1"/>
        </w:rPr>
      </w:pPr>
      <w:r w:rsidRPr="009758AA">
        <w:rPr>
          <w:rFonts w:ascii="Arial Narrow" w:hAnsi="Arial Narrow" w:cstheme="minorHAnsi"/>
          <w:color w:val="000000" w:themeColor="text1"/>
        </w:rPr>
        <w:t xml:space="preserve">Attīstīt ambulatoro pakalpojumu klāstu, piesaistot Eiropas Savienības fondu finansējumu un paplašinot funkcionālo speciālistu loku, lai nodrošinātu </w:t>
      </w:r>
      <w:proofErr w:type="spellStart"/>
      <w:r w:rsidRPr="009758AA">
        <w:rPr>
          <w:rFonts w:ascii="Arial Narrow" w:hAnsi="Arial Narrow" w:cstheme="minorHAnsi"/>
          <w:color w:val="000000" w:themeColor="text1"/>
        </w:rPr>
        <w:t>multiprofesionālu</w:t>
      </w:r>
      <w:proofErr w:type="spellEnd"/>
      <w:r w:rsidRPr="009758AA">
        <w:rPr>
          <w:rFonts w:ascii="Arial Narrow" w:hAnsi="Arial Narrow" w:cstheme="minorHAnsi"/>
          <w:color w:val="000000" w:themeColor="text1"/>
        </w:rPr>
        <w:t xml:space="preserve"> psihiatrisko rehabilitāciju gan stacionāra, gan dienas stacionāra pacientiem. </w:t>
      </w:r>
    </w:p>
    <w:p w14:paraId="38D8A31F" w14:textId="22143485" w:rsidR="00C912BF" w:rsidRPr="009758AA" w:rsidRDefault="004B0054" w:rsidP="004420B9">
      <w:pPr>
        <w:pStyle w:val="ListParagraph"/>
        <w:numPr>
          <w:ilvl w:val="0"/>
          <w:numId w:val="7"/>
        </w:numPr>
        <w:rPr>
          <w:rFonts w:ascii="Arial Narrow" w:hAnsi="Arial Narrow" w:cstheme="minorHAnsi"/>
          <w:color w:val="000000" w:themeColor="text1"/>
        </w:rPr>
      </w:pPr>
      <w:r w:rsidRPr="009758AA">
        <w:rPr>
          <w:rFonts w:ascii="Arial Narrow" w:hAnsi="Arial Narrow" w:cstheme="minorHAnsi"/>
          <w:color w:val="000000" w:themeColor="text1"/>
        </w:rPr>
        <w:t>Veikt pasākumus trūkstošā personāla piesaistei un v</w:t>
      </w:r>
      <w:r w:rsidR="001244E8" w:rsidRPr="009758AA">
        <w:rPr>
          <w:rFonts w:ascii="Arial Narrow" w:hAnsi="Arial Narrow" w:cstheme="minorHAnsi"/>
          <w:color w:val="000000" w:themeColor="text1"/>
        </w:rPr>
        <w:t>eicināt</w:t>
      </w:r>
      <w:r w:rsidR="00C912BF" w:rsidRPr="009758AA">
        <w:rPr>
          <w:rFonts w:ascii="Arial Narrow" w:hAnsi="Arial Narrow" w:cstheme="minorHAnsi"/>
          <w:color w:val="000000" w:themeColor="text1"/>
        </w:rPr>
        <w:t xml:space="preserve"> </w:t>
      </w:r>
      <w:r w:rsidRPr="009758AA">
        <w:rPr>
          <w:rFonts w:ascii="Arial Narrow" w:hAnsi="Arial Narrow" w:cstheme="minorHAnsi"/>
          <w:color w:val="000000" w:themeColor="text1"/>
        </w:rPr>
        <w:t xml:space="preserve">esošā </w:t>
      </w:r>
      <w:r w:rsidR="00C912BF" w:rsidRPr="009758AA">
        <w:rPr>
          <w:rFonts w:ascii="Arial Narrow" w:hAnsi="Arial Narrow" w:cstheme="minorHAnsi"/>
          <w:color w:val="000000" w:themeColor="text1"/>
        </w:rPr>
        <w:t>personāla profesionālās un akadēmiskās kvalifikācijas paaugstināšan</w:t>
      </w:r>
      <w:r w:rsidR="001244E8" w:rsidRPr="009758AA">
        <w:rPr>
          <w:rFonts w:ascii="Arial Narrow" w:hAnsi="Arial Narrow" w:cstheme="minorHAnsi"/>
          <w:color w:val="000000" w:themeColor="text1"/>
        </w:rPr>
        <w:t>u</w:t>
      </w:r>
      <w:r w:rsidR="009758AA">
        <w:rPr>
          <w:rFonts w:ascii="Arial Narrow" w:hAnsi="Arial Narrow" w:cstheme="minorHAnsi"/>
          <w:color w:val="000000" w:themeColor="text1"/>
        </w:rPr>
        <w:t>.</w:t>
      </w:r>
    </w:p>
    <w:p w14:paraId="2D71DD72" w14:textId="1B0392FA" w:rsidR="00EC477E" w:rsidRPr="007D5E76" w:rsidRDefault="004B0054" w:rsidP="69630B24">
      <w:pPr>
        <w:pStyle w:val="ListParagraph"/>
        <w:numPr>
          <w:ilvl w:val="0"/>
          <w:numId w:val="7"/>
        </w:numPr>
        <w:rPr>
          <w:rFonts w:ascii="Arial Narrow" w:hAnsi="Arial Narrow" w:cstheme="minorHAnsi"/>
          <w:color w:val="000000" w:themeColor="text1"/>
        </w:rPr>
      </w:pPr>
      <w:r w:rsidRPr="009758AA">
        <w:rPr>
          <w:rFonts w:ascii="Arial Narrow" w:hAnsi="Arial Narrow" w:cstheme="minorHAnsi"/>
          <w:color w:val="000000" w:themeColor="text1"/>
        </w:rPr>
        <w:t xml:space="preserve">Turpināt Slimnīcas infrastruktūras attīstību, pabeidzot Uzņemšanas nodaļas rekonstrukciju un uzsakot investīciju projektu </w:t>
      </w:r>
      <w:r w:rsidR="009758AA">
        <w:rPr>
          <w:rFonts w:ascii="Arial Narrow" w:hAnsi="Arial Narrow" w:cstheme="minorHAnsi"/>
          <w:color w:val="000000" w:themeColor="text1"/>
        </w:rPr>
        <w:t>Ārstniecības ēkas infrastruktūras attīstībai un pielāgošanai rehabilitācijas pakalpojumu sniegšanai</w:t>
      </w:r>
      <w:r w:rsidRPr="009758AA">
        <w:rPr>
          <w:rFonts w:ascii="Arial Narrow" w:hAnsi="Arial Narrow" w:cstheme="minorHAnsi"/>
          <w:color w:val="000000" w:themeColor="text1"/>
        </w:rPr>
        <w:t>, ka arī piesaistot finansējumu un realizējot citus investīciju projektus.</w:t>
      </w:r>
    </w:p>
    <w:p w14:paraId="48D06652" w14:textId="7573E80D" w:rsidR="00F22F0C" w:rsidRPr="00D25AB9" w:rsidRDefault="69630B24" w:rsidP="00131E43">
      <w:pPr>
        <w:rPr>
          <w:rFonts w:ascii="Arial Narrow" w:hAnsi="Arial Narrow" w:cstheme="minorHAnsi"/>
        </w:rPr>
      </w:pPr>
      <w:r w:rsidRPr="00D25AB9">
        <w:rPr>
          <w:rFonts w:ascii="Arial Narrow" w:hAnsi="Arial Narrow" w:cstheme="minorHAnsi"/>
        </w:rPr>
        <w:t>VSIA “Piejūras slimnīca” valdes locekl</w:t>
      </w:r>
      <w:r w:rsidR="004A38E8" w:rsidRPr="00D25AB9">
        <w:rPr>
          <w:rFonts w:ascii="Arial Narrow" w:hAnsi="Arial Narrow" w:cstheme="minorHAnsi"/>
        </w:rPr>
        <w:t>e</w:t>
      </w:r>
      <w:r w:rsidRPr="00D25AB9">
        <w:rPr>
          <w:rFonts w:ascii="Arial Narrow" w:hAnsi="Arial Narrow" w:cstheme="minorHAnsi"/>
        </w:rPr>
        <w:t xml:space="preserve"> </w:t>
      </w:r>
      <w:proofErr w:type="spellStart"/>
      <w:r w:rsidR="004A38E8" w:rsidRPr="00D25AB9">
        <w:rPr>
          <w:rFonts w:ascii="Arial Narrow" w:hAnsi="Arial Narrow" w:cstheme="minorHAnsi"/>
        </w:rPr>
        <w:t>L.Veikerte</w:t>
      </w:r>
      <w:bookmarkStart w:id="0" w:name="_GoBack"/>
      <w:bookmarkEnd w:id="0"/>
      <w:proofErr w:type="spellEnd"/>
    </w:p>
    <w:sectPr w:rsidR="00F22F0C" w:rsidRPr="00D25AB9" w:rsidSect="0053579A">
      <w:headerReference w:type="default" r:id="rId12"/>
      <w:pgSz w:w="11906" w:h="16838"/>
      <w:pgMar w:top="1701" w:right="992" w:bottom="1134" w:left="1418"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CEE1E" w14:textId="77777777" w:rsidR="000F5F44" w:rsidRDefault="000F5F44" w:rsidP="00131E43">
      <w:r>
        <w:separator/>
      </w:r>
    </w:p>
  </w:endnote>
  <w:endnote w:type="continuationSeparator" w:id="0">
    <w:p w14:paraId="7055AEB1" w14:textId="77777777" w:rsidR="000F5F44" w:rsidRDefault="000F5F44" w:rsidP="00131E43">
      <w:r>
        <w:continuationSeparator/>
      </w:r>
    </w:p>
  </w:endnote>
  <w:endnote w:type="continuationNotice" w:id="1">
    <w:p w14:paraId="19331F9E" w14:textId="77777777" w:rsidR="000F5F44" w:rsidRDefault="000F5F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66122" w14:textId="77777777" w:rsidR="000F5F44" w:rsidRDefault="000F5F44" w:rsidP="00131E43">
      <w:r>
        <w:separator/>
      </w:r>
    </w:p>
  </w:footnote>
  <w:footnote w:type="continuationSeparator" w:id="0">
    <w:p w14:paraId="1D201921" w14:textId="77777777" w:rsidR="000F5F44" w:rsidRDefault="000F5F44" w:rsidP="00131E43">
      <w:r>
        <w:continuationSeparator/>
      </w:r>
    </w:p>
  </w:footnote>
  <w:footnote w:type="continuationNotice" w:id="1">
    <w:p w14:paraId="48CD8076" w14:textId="77777777" w:rsidR="000F5F44" w:rsidRDefault="000F5F44">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4F88" w14:textId="65BD5D6C" w:rsidR="000F5F44" w:rsidRDefault="000F5F44" w:rsidP="003D2257">
    <w:pPr>
      <w:pStyle w:val="Header"/>
      <w:jc w:val="center"/>
    </w:pPr>
    <w:r>
      <w:fldChar w:fldCharType="begin"/>
    </w:r>
    <w:r>
      <w:instrText xml:space="preserve"> PAGE   \* MERGEFORMAT </w:instrText>
    </w:r>
    <w:r>
      <w:fldChar w:fldCharType="separate"/>
    </w:r>
    <w:r w:rsidR="008011DA">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624"/>
    <w:multiLevelType w:val="hybridMultilevel"/>
    <w:tmpl w:val="EB1671C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2D7C3612"/>
    <w:multiLevelType w:val="hybridMultilevel"/>
    <w:tmpl w:val="28C8DE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C4114F"/>
    <w:multiLevelType w:val="hybridMultilevel"/>
    <w:tmpl w:val="3F2CCDD0"/>
    <w:lvl w:ilvl="0" w:tplc="22486EB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82AB3"/>
    <w:multiLevelType w:val="hybridMultilevel"/>
    <w:tmpl w:val="87FE7A6C"/>
    <w:lvl w:ilvl="0" w:tplc="8C0414E8">
      <w:start w:val="327"/>
      <w:numFmt w:val="bullet"/>
      <w:lvlText w:val="-"/>
      <w:lvlJc w:val="left"/>
      <w:pPr>
        <w:ind w:left="720" w:hanging="360"/>
      </w:pPr>
      <w:rPr>
        <w:rFonts w:ascii="Calibri Light" w:eastAsia="Times New Roman"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A01B1A"/>
    <w:multiLevelType w:val="hybridMultilevel"/>
    <w:tmpl w:val="CF7092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55B44B2"/>
    <w:multiLevelType w:val="hybridMultilevel"/>
    <w:tmpl w:val="5FB29948"/>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92330C3"/>
    <w:multiLevelType w:val="hybridMultilevel"/>
    <w:tmpl w:val="BD6A3F98"/>
    <w:lvl w:ilvl="0" w:tplc="0426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B6404E1"/>
    <w:multiLevelType w:val="hybridMultilevel"/>
    <w:tmpl w:val="A7F022B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BF"/>
    <w:rsid w:val="000102F6"/>
    <w:rsid w:val="0002079F"/>
    <w:rsid w:val="00052B2B"/>
    <w:rsid w:val="00067BAD"/>
    <w:rsid w:val="000721DE"/>
    <w:rsid w:val="000746AD"/>
    <w:rsid w:val="00083F66"/>
    <w:rsid w:val="0008475D"/>
    <w:rsid w:val="00096473"/>
    <w:rsid w:val="000A0288"/>
    <w:rsid w:val="000A5F9F"/>
    <w:rsid w:val="000D18EF"/>
    <w:rsid w:val="000E0AC6"/>
    <w:rsid w:val="000F1453"/>
    <w:rsid w:val="000F5F44"/>
    <w:rsid w:val="00101BE7"/>
    <w:rsid w:val="00102425"/>
    <w:rsid w:val="00121CCA"/>
    <w:rsid w:val="001244E8"/>
    <w:rsid w:val="00131E43"/>
    <w:rsid w:val="001423F5"/>
    <w:rsid w:val="00153859"/>
    <w:rsid w:val="001571D6"/>
    <w:rsid w:val="00181E58"/>
    <w:rsid w:val="00183D60"/>
    <w:rsid w:val="00185D21"/>
    <w:rsid w:val="00191F5F"/>
    <w:rsid w:val="00196CF3"/>
    <w:rsid w:val="00196D97"/>
    <w:rsid w:val="001A43BA"/>
    <w:rsid w:val="001D1C77"/>
    <w:rsid w:val="001E272F"/>
    <w:rsid w:val="001F743F"/>
    <w:rsid w:val="00200491"/>
    <w:rsid w:val="00215DE8"/>
    <w:rsid w:val="00217290"/>
    <w:rsid w:val="0022437B"/>
    <w:rsid w:val="00234434"/>
    <w:rsid w:val="0023746B"/>
    <w:rsid w:val="00241E9E"/>
    <w:rsid w:val="00243523"/>
    <w:rsid w:val="002513D2"/>
    <w:rsid w:val="00264BFB"/>
    <w:rsid w:val="00273F7A"/>
    <w:rsid w:val="00277928"/>
    <w:rsid w:val="00282AF2"/>
    <w:rsid w:val="002B100D"/>
    <w:rsid w:val="002B3AD7"/>
    <w:rsid w:val="002D4957"/>
    <w:rsid w:val="002D7425"/>
    <w:rsid w:val="002E2718"/>
    <w:rsid w:val="002E5154"/>
    <w:rsid w:val="002F5BC9"/>
    <w:rsid w:val="00304765"/>
    <w:rsid w:val="003254EC"/>
    <w:rsid w:val="00333B18"/>
    <w:rsid w:val="00337C20"/>
    <w:rsid w:val="00340854"/>
    <w:rsid w:val="00346230"/>
    <w:rsid w:val="00394371"/>
    <w:rsid w:val="00396F1F"/>
    <w:rsid w:val="003A1681"/>
    <w:rsid w:val="003C552F"/>
    <w:rsid w:val="003D2257"/>
    <w:rsid w:val="003D4191"/>
    <w:rsid w:val="003F6139"/>
    <w:rsid w:val="00420BFD"/>
    <w:rsid w:val="00421D75"/>
    <w:rsid w:val="004420B9"/>
    <w:rsid w:val="00477FB7"/>
    <w:rsid w:val="004A066C"/>
    <w:rsid w:val="004A127D"/>
    <w:rsid w:val="004A38E8"/>
    <w:rsid w:val="004B0054"/>
    <w:rsid w:val="004B1DCB"/>
    <w:rsid w:val="004B434F"/>
    <w:rsid w:val="004B5EE6"/>
    <w:rsid w:val="004C23FC"/>
    <w:rsid w:val="004C597F"/>
    <w:rsid w:val="004F1FEC"/>
    <w:rsid w:val="004F5939"/>
    <w:rsid w:val="00501A62"/>
    <w:rsid w:val="00514140"/>
    <w:rsid w:val="00532746"/>
    <w:rsid w:val="0053579A"/>
    <w:rsid w:val="00592F99"/>
    <w:rsid w:val="00596EA4"/>
    <w:rsid w:val="005B2F91"/>
    <w:rsid w:val="005C2E20"/>
    <w:rsid w:val="005F20FB"/>
    <w:rsid w:val="00632EC4"/>
    <w:rsid w:val="0064530B"/>
    <w:rsid w:val="00651432"/>
    <w:rsid w:val="00666418"/>
    <w:rsid w:val="0066675C"/>
    <w:rsid w:val="006717C7"/>
    <w:rsid w:val="0067558D"/>
    <w:rsid w:val="00677689"/>
    <w:rsid w:val="00683D36"/>
    <w:rsid w:val="00684265"/>
    <w:rsid w:val="0069769D"/>
    <w:rsid w:val="006B392E"/>
    <w:rsid w:val="006D2D85"/>
    <w:rsid w:val="006D6DDC"/>
    <w:rsid w:val="006E54C6"/>
    <w:rsid w:val="006F0390"/>
    <w:rsid w:val="006F6B89"/>
    <w:rsid w:val="00720871"/>
    <w:rsid w:val="00724317"/>
    <w:rsid w:val="00724896"/>
    <w:rsid w:val="00733E6B"/>
    <w:rsid w:val="007A244D"/>
    <w:rsid w:val="007B3B58"/>
    <w:rsid w:val="007B5453"/>
    <w:rsid w:val="007C31A4"/>
    <w:rsid w:val="007D1484"/>
    <w:rsid w:val="007D5E76"/>
    <w:rsid w:val="007E4D42"/>
    <w:rsid w:val="007F4A1A"/>
    <w:rsid w:val="007F72AA"/>
    <w:rsid w:val="008011DA"/>
    <w:rsid w:val="0080166A"/>
    <w:rsid w:val="008177A2"/>
    <w:rsid w:val="00847992"/>
    <w:rsid w:val="00850C04"/>
    <w:rsid w:val="008567E4"/>
    <w:rsid w:val="00890313"/>
    <w:rsid w:val="008A0782"/>
    <w:rsid w:val="008A3605"/>
    <w:rsid w:val="008B31F7"/>
    <w:rsid w:val="008C29FA"/>
    <w:rsid w:val="008D2605"/>
    <w:rsid w:val="008D6E57"/>
    <w:rsid w:val="008E0132"/>
    <w:rsid w:val="008F01FF"/>
    <w:rsid w:val="008F5CC2"/>
    <w:rsid w:val="009114F2"/>
    <w:rsid w:val="00917A42"/>
    <w:rsid w:val="00940170"/>
    <w:rsid w:val="0095557C"/>
    <w:rsid w:val="00955E9D"/>
    <w:rsid w:val="00961C38"/>
    <w:rsid w:val="00966DC9"/>
    <w:rsid w:val="0097345E"/>
    <w:rsid w:val="009758AA"/>
    <w:rsid w:val="009A099B"/>
    <w:rsid w:val="009A3ECD"/>
    <w:rsid w:val="009B3D80"/>
    <w:rsid w:val="009B3E61"/>
    <w:rsid w:val="009C6AFB"/>
    <w:rsid w:val="009D23A2"/>
    <w:rsid w:val="009D561C"/>
    <w:rsid w:val="009D7629"/>
    <w:rsid w:val="009E6CDD"/>
    <w:rsid w:val="009F6E18"/>
    <w:rsid w:val="009F744A"/>
    <w:rsid w:val="00A01D06"/>
    <w:rsid w:val="00A1051B"/>
    <w:rsid w:val="00A179B3"/>
    <w:rsid w:val="00A30EAB"/>
    <w:rsid w:val="00A34F69"/>
    <w:rsid w:val="00A3734E"/>
    <w:rsid w:val="00A427A4"/>
    <w:rsid w:val="00A6546D"/>
    <w:rsid w:val="00A734D4"/>
    <w:rsid w:val="00A938F6"/>
    <w:rsid w:val="00AA2738"/>
    <w:rsid w:val="00AA77E9"/>
    <w:rsid w:val="00AA791F"/>
    <w:rsid w:val="00AC21AF"/>
    <w:rsid w:val="00AE3253"/>
    <w:rsid w:val="00AE6EF2"/>
    <w:rsid w:val="00B1399D"/>
    <w:rsid w:val="00B13D52"/>
    <w:rsid w:val="00B179B4"/>
    <w:rsid w:val="00B22397"/>
    <w:rsid w:val="00B44FE8"/>
    <w:rsid w:val="00B461BC"/>
    <w:rsid w:val="00B467A6"/>
    <w:rsid w:val="00B55CFF"/>
    <w:rsid w:val="00B76B88"/>
    <w:rsid w:val="00B92601"/>
    <w:rsid w:val="00B97204"/>
    <w:rsid w:val="00BC7F53"/>
    <w:rsid w:val="00BF0DD5"/>
    <w:rsid w:val="00BF7AA3"/>
    <w:rsid w:val="00C154EC"/>
    <w:rsid w:val="00C15582"/>
    <w:rsid w:val="00C17BA7"/>
    <w:rsid w:val="00C4420C"/>
    <w:rsid w:val="00C4798F"/>
    <w:rsid w:val="00C56E64"/>
    <w:rsid w:val="00C912BF"/>
    <w:rsid w:val="00C932D2"/>
    <w:rsid w:val="00CA5599"/>
    <w:rsid w:val="00CB3193"/>
    <w:rsid w:val="00CE68EA"/>
    <w:rsid w:val="00D04156"/>
    <w:rsid w:val="00D10A3D"/>
    <w:rsid w:val="00D16A7B"/>
    <w:rsid w:val="00D25AB9"/>
    <w:rsid w:val="00D4014C"/>
    <w:rsid w:val="00D43E7B"/>
    <w:rsid w:val="00D44A32"/>
    <w:rsid w:val="00D460F7"/>
    <w:rsid w:val="00D64716"/>
    <w:rsid w:val="00D74338"/>
    <w:rsid w:val="00D76F78"/>
    <w:rsid w:val="00D809E9"/>
    <w:rsid w:val="00DA2B89"/>
    <w:rsid w:val="00DA2F49"/>
    <w:rsid w:val="00DC2226"/>
    <w:rsid w:val="00DC33C0"/>
    <w:rsid w:val="00DD1E1F"/>
    <w:rsid w:val="00DD4A5F"/>
    <w:rsid w:val="00DD6EFE"/>
    <w:rsid w:val="00DE6499"/>
    <w:rsid w:val="00E152E9"/>
    <w:rsid w:val="00E1598C"/>
    <w:rsid w:val="00E40941"/>
    <w:rsid w:val="00E4577D"/>
    <w:rsid w:val="00E46AE0"/>
    <w:rsid w:val="00E47BD8"/>
    <w:rsid w:val="00E7197A"/>
    <w:rsid w:val="00E83E29"/>
    <w:rsid w:val="00E83EF4"/>
    <w:rsid w:val="00E97313"/>
    <w:rsid w:val="00EA1DBE"/>
    <w:rsid w:val="00EA2119"/>
    <w:rsid w:val="00EC477E"/>
    <w:rsid w:val="00ED711F"/>
    <w:rsid w:val="00EE292E"/>
    <w:rsid w:val="00EE471F"/>
    <w:rsid w:val="00EF42C7"/>
    <w:rsid w:val="00F00CFF"/>
    <w:rsid w:val="00F17844"/>
    <w:rsid w:val="00F22F0C"/>
    <w:rsid w:val="00F24040"/>
    <w:rsid w:val="00F35CDD"/>
    <w:rsid w:val="00F50B00"/>
    <w:rsid w:val="00F54512"/>
    <w:rsid w:val="00F5744F"/>
    <w:rsid w:val="00F632A9"/>
    <w:rsid w:val="00F67E73"/>
    <w:rsid w:val="00F8014E"/>
    <w:rsid w:val="00F80A7F"/>
    <w:rsid w:val="00F836BF"/>
    <w:rsid w:val="00FA347B"/>
    <w:rsid w:val="00FB7031"/>
    <w:rsid w:val="0D3B94C0"/>
    <w:rsid w:val="1370DCD1"/>
    <w:rsid w:val="1C598559"/>
    <w:rsid w:val="282F2BB0"/>
    <w:rsid w:val="2EA85BA7"/>
    <w:rsid w:val="3A1ECB2B"/>
    <w:rsid w:val="48534421"/>
    <w:rsid w:val="4BFD1348"/>
    <w:rsid w:val="615A1D5B"/>
    <w:rsid w:val="625A58EE"/>
    <w:rsid w:val="69630B24"/>
    <w:rsid w:val="72737A92"/>
    <w:rsid w:val="77B5D698"/>
    <w:rsid w:val="7B60EFBB"/>
    <w:rsid w:val="7FFB2A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C77E"/>
  <w15:chartTrackingRefBased/>
  <w15:docId w15:val="{E52FD2B0-293C-42B7-AF91-0AAF2189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v-LV"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E43"/>
    <w:pPr>
      <w:jc w:val="both"/>
    </w:pPr>
    <w:rPr>
      <w:sz w:val="24"/>
      <w:szCs w:val="24"/>
    </w:rPr>
  </w:style>
  <w:style w:type="paragraph" w:styleId="Heading1">
    <w:name w:val="heading 1"/>
    <w:basedOn w:val="Normal"/>
    <w:next w:val="Normal"/>
    <w:link w:val="Heading1Char"/>
    <w:uiPriority w:val="9"/>
    <w:qFormat/>
    <w:rsid w:val="003D2257"/>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rPr>
  </w:style>
  <w:style w:type="paragraph" w:styleId="Heading2">
    <w:name w:val="heading 2"/>
    <w:basedOn w:val="Normal"/>
    <w:next w:val="Normal"/>
    <w:link w:val="Heading2Char"/>
    <w:uiPriority w:val="9"/>
    <w:unhideWhenUsed/>
    <w:qFormat/>
    <w:rsid w:val="004C597F"/>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912BF"/>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C912BF"/>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C912BF"/>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C912BF"/>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C912BF"/>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C912B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912B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Numbered Para 1,Dot pt,List Paragraph Char Char Char,Indicator Text,List Paragraph1,Bullet 1,Bullet Points,MAIN CONTENT,IFCL - List Paragraph,List Paragraph12,OBC Bullet,F5 List Paragraph,Strip"/>
    <w:basedOn w:val="Normal"/>
    <w:link w:val="ListParagraphChar"/>
    <w:uiPriority w:val="34"/>
    <w:qFormat/>
    <w:rsid w:val="00C912BF"/>
    <w:pPr>
      <w:ind w:left="720"/>
      <w:contextualSpacing/>
    </w:pPr>
  </w:style>
  <w:style w:type="character" w:customStyle="1" w:styleId="ListParagraphChar">
    <w:name w:val="List Paragraph Char"/>
    <w:aliases w:val="2 Char,Akapit z listą BS Char,Numbered Para 1 Char,Dot pt Char,List Paragraph Char Char Char Char,Indicator Text Char,List Paragraph1 Char,Bullet 1 Char,Bullet Points Char,MAIN CONTENT Char,IFCL - List Paragraph Char,OBC Bullet Char"/>
    <w:link w:val="ListParagraph"/>
    <w:uiPriority w:val="34"/>
    <w:locked/>
    <w:rsid w:val="00C912BF"/>
  </w:style>
  <w:style w:type="paragraph" w:styleId="Header">
    <w:name w:val="header"/>
    <w:basedOn w:val="Normal"/>
    <w:link w:val="HeaderChar"/>
    <w:uiPriority w:val="99"/>
    <w:unhideWhenUsed/>
    <w:rsid w:val="00C912BF"/>
    <w:pPr>
      <w:tabs>
        <w:tab w:val="center" w:pos="4153"/>
        <w:tab w:val="right" w:pos="8306"/>
      </w:tabs>
    </w:pPr>
  </w:style>
  <w:style w:type="character" w:customStyle="1" w:styleId="HeaderChar">
    <w:name w:val="Header Char"/>
    <w:basedOn w:val="DefaultParagraphFont"/>
    <w:link w:val="Header"/>
    <w:uiPriority w:val="99"/>
    <w:rsid w:val="00C912BF"/>
    <w:rPr>
      <w:rFonts w:eastAsiaTheme="minorEastAsia"/>
      <w:sz w:val="20"/>
      <w:szCs w:val="20"/>
      <w:lang w:eastAsia="lv-LV"/>
    </w:rPr>
  </w:style>
  <w:style w:type="character" w:styleId="Hyperlink">
    <w:name w:val="Hyperlink"/>
    <w:uiPriority w:val="99"/>
    <w:unhideWhenUsed/>
    <w:rsid w:val="00C912BF"/>
    <w:rPr>
      <w:color w:val="0563C1"/>
      <w:u w:val="single"/>
    </w:rPr>
  </w:style>
  <w:style w:type="character" w:styleId="IntenseEmphasis">
    <w:name w:val="Intense Emphasis"/>
    <w:uiPriority w:val="21"/>
    <w:qFormat/>
    <w:rsid w:val="00C912BF"/>
    <w:rPr>
      <w:b/>
      <w:bCs/>
      <w:caps/>
      <w:color w:val="294E1C" w:themeColor="accent1" w:themeShade="7F"/>
      <w:spacing w:val="10"/>
    </w:rPr>
  </w:style>
  <w:style w:type="character" w:styleId="CommentReference">
    <w:name w:val="annotation reference"/>
    <w:uiPriority w:val="99"/>
    <w:semiHidden/>
    <w:unhideWhenUsed/>
    <w:rsid w:val="00C912BF"/>
    <w:rPr>
      <w:sz w:val="16"/>
      <w:szCs w:val="16"/>
    </w:rPr>
  </w:style>
  <w:style w:type="paragraph" w:styleId="CommentText">
    <w:name w:val="annotation text"/>
    <w:basedOn w:val="Normal"/>
    <w:link w:val="CommentTextChar"/>
    <w:uiPriority w:val="99"/>
    <w:unhideWhenUsed/>
    <w:rsid w:val="00C912BF"/>
  </w:style>
  <w:style w:type="character" w:customStyle="1" w:styleId="CommentTextChar">
    <w:name w:val="Comment Text Char"/>
    <w:basedOn w:val="DefaultParagraphFont"/>
    <w:link w:val="CommentText"/>
    <w:uiPriority w:val="99"/>
    <w:rsid w:val="00C912BF"/>
    <w:rPr>
      <w:rFonts w:eastAsiaTheme="minorEastAsia"/>
      <w:sz w:val="20"/>
      <w:szCs w:val="20"/>
      <w:lang w:eastAsia="lv-LV"/>
    </w:rPr>
  </w:style>
  <w:style w:type="paragraph" w:styleId="Title">
    <w:name w:val="Title"/>
    <w:basedOn w:val="Normal"/>
    <w:next w:val="Normal"/>
    <w:link w:val="TitleChar"/>
    <w:uiPriority w:val="10"/>
    <w:qFormat/>
    <w:rsid w:val="00C912BF"/>
    <w:pPr>
      <w:spacing w:before="0" w:after="0"/>
      <w:jc w:val="center"/>
    </w:pPr>
    <w:rPr>
      <w:rFonts w:asciiTheme="majorHAnsi" w:eastAsiaTheme="majorEastAsia" w:hAnsiTheme="majorHAnsi" w:cstheme="majorBidi"/>
      <w:b/>
      <w:bCs/>
      <w:caps/>
      <w:color w:val="549E39" w:themeColor="accent1"/>
      <w:spacing w:val="10"/>
      <w:sz w:val="36"/>
      <w:szCs w:val="36"/>
    </w:rPr>
  </w:style>
  <w:style w:type="character" w:customStyle="1" w:styleId="TitleChar">
    <w:name w:val="Title Char"/>
    <w:basedOn w:val="DefaultParagraphFont"/>
    <w:link w:val="Title"/>
    <w:uiPriority w:val="10"/>
    <w:rsid w:val="00C912BF"/>
    <w:rPr>
      <w:rFonts w:asciiTheme="majorHAnsi" w:eastAsiaTheme="majorEastAsia" w:hAnsiTheme="majorHAnsi" w:cstheme="majorBidi"/>
      <w:b/>
      <w:bCs/>
      <w:caps/>
      <w:color w:val="549E39" w:themeColor="accent1"/>
      <w:spacing w:val="10"/>
      <w:sz w:val="36"/>
      <w:szCs w:val="36"/>
    </w:rPr>
  </w:style>
  <w:style w:type="character" w:customStyle="1" w:styleId="Heading1Char">
    <w:name w:val="Heading 1 Char"/>
    <w:basedOn w:val="DefaultParagraphFont"/>
    <w:link w:val="Heading1"/>
    <w:uiPriority w:val="9"/>
    <w:rsid w:val="003D2257"/>
    <w:rPr>
      <w:caps/>
      <w:color w:val="FFFFFF" w:themeColor="background1"/>
      <w:spacing w:val="15"/>
      <w:sz w:val="24"/>
      <w:szCs w:val="24"/>
      <w:shd w:val="clear" w:color="auto" w:fill="549E39" w:themeFill="accent1"/>
    </w:rPr>
  </w:style>
  <w:style w:type="character" w:customStyle="1" w:styleId="Heading2Char">
    <w:name w:val="Heading 2 Char"/>
    <w:basedOn w:val="DefaultParagraphFont"/>
    <w:link w:val="Heading2"/>
    <w:uiPriority w:val="9"/>
    <w:rsid w:val="004C597F"/>
    <w:rPr>
      <w:caps/>
      <w:spacing w:val="15"/>
      <w:sz w:val="24"/>
      <w:szCs w:val="24"/>
      <w:shd w:val="clear" w:color="auto" w:fill="DAEFD3" w:themeFill="accent1" w:themeFillTint="33"/>
    </w:rPr>
  </w:style>
  <w:style w:type="character" w:customStyle="1" w:styleId="Heading3Char">
    <w:name w:val="Heading 3 Char"/>
    <w:basedOn w:val="DefaultParagraphFont"/>
    <w:link w:val="Heading3"/>
    <w:uiPriority w:val="9"/>
    <w:semiHidden/>
    <w:rsid w:val="00C912BF"/>
    <w:rPr>
      <w:caps/>
      <w:color w:val="294E1C" w:themeColor="accent1" w:themeShade="7F"/>
      <w:spacing w:val="15"/>
    </w:rPr>
  </w:style>
  <w:style w:type="character" w:customStyle="1" w:styleId="Heading4Char">
    <w:name w:val="Heading 4 Char"/>
    <w:basedOn w:val="DefaultParagraphFont"/>
    <w:link w:val="Heading4"/>
    <w:uiPriority w:val="9"/>
    <w:semiHidden/>
    <w:rsid w:val="00C912BF"/>
    <w:rPr>
      <w:caps/>
      <w:color w:val="3E762A" w:themeColor="accent1" w:themeShade="BF"/>
      <w:spacing w:val="10"/>
    </w:rPr>
  </w:style>
  <w:style w:type="character" w:customStyle="1" w:styleId="Heading5Char">
    <w:name w:val="Heading 5 Char"/>
    <w:basedOn w:val="DefaultParagraphFont"/>
    <w:link w:val="Heading5"/>
    <w:uiPriority w:val="9"/>
    <w:semiHidden/>
    <w:rsid w:val="00C912BF"/>
    <w:rPr>
      <w:caps/>
      <w:color w:val="3E762A" w:themeColor="accent1" w:themeShade="BF"/>
      <w:spacing w:val="10"/>
    </w:rPr>
  </w:style>
  <w:style w:type="character" w:customStyle="1" w:styleId="Heading6Char">
    <w:name w:val="Heading 6 Char"/>
    <w:basedOn w:val="DefaultParagraphFont"/>
    <w:link w:val="Heading6"/>
    <w:uiPriority w:val="9"/>
    <w:semiHidden/>
    <w:rsid w:val="00C912BF"/>
    <w:rPr>
      <w:caps/>
      <w:color w:val="3E762A" w:themeColor="accent1" w:themeShade="BF"/>
      <w:spacing w:val="10"/>
    </w:rPr>
  </w:style>
  <w:style w:type="character" w:customStyle="1" w:styleId="Heading7Char">
    <w:name w:val="Heading 7 Char"/>
    <w:basedOn w:val="DefaultParagraphFont"/>
    <w:link w:val="Heading7"/>
    <w:uiPriority w:val="9"/>
    <w:semiHidden/>
    <w:rsid w:val="00C912BF"/>
    <w:rPr>
      <w:caps/>
      <w:color w:val="3E762A" w:themeColor="accent1" w:themeShade="BF"/>
      <w:spacing w:val="10"/>
    </w:rPr>
  </w:style>
  <w:style w:type="character" w:customStyle="1" w:styleId="Heading8Char">
    <w:name w:val="Heading 8 Char"/>
    <w:basedOn w:val="DefaultParagraphFont"/>
    <w:link w:val="Heading8"/>
    <w:uiPriority w:val="9"/>
    <w:semiHidden/>
    <w:rsid w:val="00C912BF"/>
    <w:rPr>
      <w:caps/>
      <w:spacing w:val="10"/>
      <w:sz w:val="18"/>
      <w:szCs w:val="18"/>
    </w:rPr>
  </w:style>
  <w:style w:type="character" w:customStyle="1" w:styleId="Heading9Char">
    <w:name w:val="Heading 9 Char"/>
    <w:basedOn w:val="DefaultParagraphFont"/>
    <w:link w:val="Heading9"/>
    <w:uiPriority w:val="9"/>
    <w:semiHidden/>
    <w:rsid w:val="00C912BF"/>
    <w:rPr>
      <w:i/>
      <w:iCs/>
      <w:caps/>
      <w:spacing w:val="10"/>
      <w:sz w:val="18"/>
      <w:szCs w:val="18"/>
    </w:rPr>
  </w:style>
  <w:style w:type="paragraph" w:styleId="Caption">
    <w:name w:val="caption"/>
    <w:basedOn w:val="Normal"/>
    <w:next w:val="Normal"/>
    <w:uiPriority w:val="35"/>
    <w:semiHidden/>
    <w:unhideWhenUsed/>
    <w:qFormat/>
    <w:rsid w:val="00C912BF"/>
    <w:rPr>
      <w:b/>
      <w:bCs/>
      <w:color w:val="3E762A" w:themeColor="accent1" w:themeShade="BF"/>
      <w:sz w:val="16"/>
      <w:szCs w:val="16"/>
    </w:rPr>
  </w:style>
  <w:style w:type="paragraph" w:styleId="Subtitle">
    <w:name w:val="Subtitle"/>
    <w:basedOn w:val="Normal"/>
    <w:next w:val="Normal"/>
    <w:link w:val="SubtitleChar"/>
    <w:uiPriority w:val="11"/>
    <w:qFormat/>
    <w:rsid w:val="00C912B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912BF"/>
    <w:rPr>
      <w:caps/>
      <w:color w:val="595959" w:themeColor="text1" w:themeTint="A6"/>
      <w:spacing w:val="10"/>
      <w:sz w:val="21"/>
      <w:szCs w:val="21"/>
    </w:rPr>
  </w:style>
  <w:style w:type="character" w:styleId="Strong">
    <w:name w:val="Strong"/>
    <w:uiPriority w:val="22"/>
    <w:qFormat/>
    <w:rsid w:val="00C912BF"/>
    <w:rPr>
      <w:b/>
      <w:bCs/>
    </w:rPr>
  </w:style>
  <w:style w:type="character" w:styleId="Emphasis">
    <w:name w:val="Emphasis"/>
    <w:uiPriority w:val="20"/>
    <w:qFormat/>
    <w:rsid w:val="00C912BF"/>
    <w:rPr>
      <w:caps/>
      <w:color w:val="294E1C" w:themeColor="accent1" w:themeShade="7F"/>
      <w:spacing w:val="5"/>
    </w:rPr>
  </w:style>
  <w:style w:type="paragraph" w:styleId="NoSpacing">
    <w:name w:val="No Spacing"/>
    <w:uiPriority w:val="1"/>
    <w:qFormat/>
    <w:rsid w:val="00C912BF"/>
    <w:pPr>
      <w:spacing w:after="0" w:line="240" w:lineRule="auto"/>
    </w:pPr>
  </w:style>
  <w:style w:type="paragraph" w:styleId="Quote">
    <w:name w:val="Quote"/>
    <w:basedOn w:val="Normal"/>
    <w:next w:val="Normal"/>
    <w:link w:val="QuoteChar"/>
    <w:uiPriority w:val="29"/>
    <w:qFormat/>
    <w:rsid w:val="00C912BF"/>
    <w:rPr>
      <w:i/>
      <w:iCs/>
    </w:rPr>
  </w:style>
  <w:style w:type="character" w:customStyle="1" w:styleId="QuoteChar">
    <w:name w:val="Quote Char"/>
    <w:basedOn w:val="DefaultParagraphFont"/>
    <w:link w:val="Quote"/>
    <w:uiPriority w:val="29"/>
    <w:rsid w:val="00C912BF"/>
    <w:rPr>
      <w:i/>
      <w:iCs/>
      <w:sz w:val="24"/>
      <w:szCs w:val="24"/>
    </w:rPr>
  </w:style>
  <w:style w:type="paragraph" w:styleId="IntenseQuote">
    <w:name w:val="Intense Quote"/>
    <w:basedOn w:val="Normal"/>
    <w:next w:val="Normal"/>
    <w:link w:val="IntenseQuoteChar"/>
    <w:uiPriority w:val="30"/>
    <w:qFormat/>
    <w:rsid w:val="00C912BF"/>
    <w:pPr>
      <w:spacing w:before="240" w:after="240" w:line="240" w:lineRule="auto"/>
      <w:ind w:left="1080" w:right="1080"/>
      <w:jc w:val="center"/>
    </w:pPr>
    <w:rPr>
      <w:color w:val="549E39" w:themeColor="accent1"/>
    </w:rPr>
  </w:style>
  <w:style w:type="character" w:customStyle="1" w:styleId="IntenseQuoteChar">
    <w:name w:val="Intense Quote Char"/>
    <w:basedOn w:val="DefaultParagraphFont"/>
    <w:link w:val="IntenseQuote"/>
    <w:uiPriority w:val="30"/>
    <w:rsid w:val="00C912BF"/>
    <w:rPr>
      <w:color w:val="549E39" w:themeColor="accent1"/>
      <w:sz w:val="24"/>
      <w:szCs w:val="24"/>
    </w:rPr>
  </w:style>
  <w:style w:type="character" w:styleId="SubtleEmphasis">
    <w:name w:val="Subtle Emphasis"/>
    <w:uiPriority w:val="19"/>
    <w:qFormat/>
    <w:rsid w:val="00C912BF"/>
    <w:rPr>
      <w:i/>
      <w:iCs/>
      <w:color w:val="294E1C" w:themeColor="accent1" w:themeShade="7F"/>
    </w:rPr>
  </w:style>
  <w:style w:type="character" w:styleId="SubtleReference">
    <w:name w:val="Subtle Reference"/>
    <w:uiPriority w:val="31"/>
    <w:qFormat/>
    <w:rsid w:val="00C912BF"/>
    <w:rPr>
      <w:b/>
      <w:bCs/>
      <w:color w:val="549E39" w:themeColor="accent1"/>
    </w:rPr>
  </w:style>
  <w:style w:type="character" w:styleId="IntenseReference">
    <w:name w:val="Intense Reference"/>
    <w:uiPriority w:val="32"/>
    <w:qFormat/>
    <w:rsid w:val="00C912BF"/>
    <w:rPr>
      <w:b/>
      <w:bCs/>
      <w:i/>
      <w:iCs/>
      <w:caps/>
      <w:color w:val="549E39" w:themeColor="accent1"/>
    </w:rPr>
  </w:style>
  <w:style w:type="character" w:styleId="BookTitle">
    <w:name w:val="Book Title"/>
    <w:uiPriority w:val="33"/>
    <w:qFormat/>
    <w:rsid w:val="00C912BF"/>
    <w:rPr>
      <w:b/>
      <w:bCs/>
      <w:i/>
      <w:iCs/>
      <w:spacing w:val="0"/>
    </w:rPr>
  </w:style>
  <w:style w:type="paragraph" w:styleId="TOCHeading">
    <w:name w:val="TOC Heading"/>
    <w:basedOn w:val="Heading1"/>
    <w:next w:val="Normal"/>
    <w:uiPriority w:val="39"/>
    <w:semiHidden/>
    <w:unhideWhenUsed/>
    <w:qFormat/>
    <w:rsid w:val="00C912BF"/>
    <w:pPr>
      <w:outlineLvl w:val="9"/>
    </w:pPr>
  </w:style>
  <w:style w:type="paragraph" w:styleId="Footer">
    <w:name w:val="footer"/>
    <w:basedOn w:val="Normal"/>
    <w:link w:val="FooterChar"/>
    <w:uiPriority w:val="99"/>
    <w:unhideWhenUsed/>
    <w:rsid w:val="00C912BF"/>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C912BF"/>
    <w:rPr>
      <w:sz w:val="24"/>
      <w:szCs w:val="24"/>
    </w:rPr>
  </w:style>
  <w:style w:type="table" w:styleId="ListTable3-Accent1">
    <w:name w:val="List Table 3 Accent 1"/>
    <w:basedOn w:val="TableNormal"/>
    <w:uiPriority w:val="48"/>
    <w:rsid w:val="003D2257"/>
    <w:pPr>
      <w:spacing w:after="0" w:line="240" w:lineRule="auto"/>
    </w:pPr>
    <w:tblPr>
      <w:tblStyleRowBandSize w:val="1"/>
      <w:tblStyleColBandSize w:val="1"/>
      <w:tblBorders>
        <w:top w:val="single" w:sz="4" w:space="0" w:color="549E39" w:themeColor="accent1"/>
        <w:left w:val="single" w:sz="4" w:space="0" w:color="549E39" w:themeColor="accent1"/>
        <w:bottom w:val="single" w:sz="4" w:space="0" w:color="549E39" w:themeColor="accent1"/>
        <w:right w:val="single" w:sz="4" w:space="0" w:color="549E39" w:themeColor="accent1"/>
      </w:tblBorders>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table" w:styleId="GridTable4-Accent1">
    <w:name w:val="Grid Table 4 Accent 1"/>
    <w:basedOn w:val="TableNormal"/>
    <w:uiPriority w:val="49"/>
    <w:rsid w:val="00F50B00"/>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3-Accent2">
    <w:name w:val="List Table 3 Accent 2"/>
    <w:basedOn w:val="TableNormal"/>
    <w:uiPriority w:val="48"/>
    <w:rsid w:val="008567E4"/>
    <w:pPr>
      <w:spacing w:after="0" w:line="240" w:lineRule="auto"/>
    </w:pPr>
    <w:tblPr>
      <w:tblStyleRowBandSize w:val="1"/>
      <w:tblStyleColBandSize w:val="1"/>
      <w:tblBorders>
        <w:top w:val="single" w:sz="4" w:space="0" w:color="8AB833" w:themeColor="accent2"/>
        <w:left w:val="single" w:sz="4" w:space="0" w:color="8AB833" w:themeColor="accent2"/>
        <w:bottom w:val="single" w:sz="4" w:space="0" w:color="8AB833" w:themeColor="accent2"/>
        <w:right w:val="single" w:sz="4" w:space="0" w:color="8AB833" w:themeColor="accent2"/>
      </w:tblBorders>
    </w:tblPr>
    <w:tblStylePr w:type="firstRow">
      <w:rPr>
        <w:b/>
        <w:bCs/>
        <w:color w:val="FFFFFF" w:themeColor="background1"/>
      </w:rPr>
      <w:tblPr/>
      <w:tcPr>
        <w:shd w:val="clear" w:color="auto" w:fill="8AB833" w:themeFill="accent2"/>
      </w:tcPr>
    </w:tblStylePr>
    <w:tblStylePr w:type="lastRow">
      <w:rPr>
        <w:b/>
        <w:bCs/>
      </w:rPr>
      <w:tblPr/>
      <w:tcPr>
        <w:tcBorders>
          <w:top w:val="double" w:sz="4" w:space="0" w:color="8AB8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B833" w:themeColor="accent2"/>
          <w:right w:val="single" w:sz="4" w:space="0" w:color="8AB833" w:themeColor="accent2"/>
        </w:tcBorders>
      </w:tcPr>
    </w:tblStylePr>
    <w:tblStylePr w:type="band1Horz">
      <w:tblPr/>
      <w:tcPr>
        <w:tcBorders>
          <w:top w:val="single" w:sz="4" w:space="0" w:color="8AB833" w:themeColor="accent2"/>
          <w:bottom w:val="single" w:sz="4" w:space="0" w:color="8AB8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B833" w:themeColor="accent2"/>
          <w:left w:val="nil"/>
        </w:tcBorders>
      </w:tcPr>
    </w:tblStylePr>
    <w:tblStylePr w:type="swCell">
      <w:tblPr/>
      <w:tcPr>
        <w:tcBorders>
          <w:top w:val="double" w:sz="4" w:space="0" w:color="8AB833" w:themeColor="accent2"/>
          <w:right w:val="nil"/>
        </w:tcBorders>
      </w:tcPr>
    </w:tblStylePr>
  </w:style>
  <w:style w:type="table" w:styleId="TableGrid">
    <w:name w:val="Table Grid"/>
    <w:basedOn w:val="TableNormal"/>
    <w:uiPriority w:val="59"/>
    <w:rsid w:val="002E5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0746AD"/>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46AD"/>
    <w:pPr>
      <w:spacing w:after="0" w:line="240" w:lineRule="auto"/>
    </w:pPr>
    <w:tblPr>
      <w:tblStyleRowBandSize w:val="1"/>
      <w:tblStyleColBandSize w:val="1"/>
      <w:tblBorders>
        <w:top w:val="single" w:sz="4" w:space="0" w:color="D1E7A8" w:themeColor="accent2" w:themeTint="66"/>
        <w:left w:val="single" w:sz="4" w:space="0" w:color="D1E7A8" w:themeColor="accent2" w:themeTint="66"/>
        <w:bottom w:val="single" w:sz="4" w:space="0" w:color="D1E7A8" w:themeColor="accent2" w:themeTint="66"/>
        <w:right w:val="single" w:sz="4" w:space="0" w:color="D1E7A8" w:themeColor="accent2" w:themeTint="66"/>
        <w:insideH w:val="single" w:sz="4" w:space="0" w:color="D1E7A8" w:themeColor="accent2" w:themeTint="66"/>
        <w:insideV w:val="single" w:sz="4" w:space="0" w:color="D1E7A8" w:themeColor="accent2" w:themeTint="66"/>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2" w:space="0" w:color="BADB7D" w:themeColor="accent2" w:themeTint="99"/>
        </w:tcBorders>
      </w:tcPr>
    </w:tblStylePr>
    <w:tblStylePr w:type="firstCol">
      <w:rPr>
        <w:b/>
        <w:bCs/>
      </w:rPr>
    </w:tblStylePr>
    <w:tblStylePr w:type="lastCol">
      <w:rPr>
        <w:b/>
        <w:bCs/>
      </w:rPr>
    </w:tblStylePr>
  </w:style>
  <w:style w:type="table" w:styleId="ListTable1Light-Accent2">
    <w:name w:val="List Table 1 Light Accent 2"/>
    <w:basedOn w:val="TableNormal"/>
    <w:uiPriority w:val="46"/>
    <w:rsid w:val="000746AD"/>
    <w:pPr>
      <w:spacing w:after="0" w:line="240" w:lineRule="auto"/>
    </w:pPr>
    <w:tblPr>
      <w:tblStyleRowBandSize w:val="1"/>
      <w:tblStyleColBandSize w:val="1"/>
    </w:tblPr>
    <w:tblStylePr w:type="firstRow">
      <w:rPr>
        <w:b/>
        <w:bCs/>
      </w:rPr>
      <w:tblPr/>
      <w:tcPr>
        <w:tcBorders>
          <w:bottom w:val="single" w:sz="4" w:space="0" w:color="BADB7D" w:themeColor="accent2" w:themeTint="99"/>
        </w:tcBorders>
      </w:tcPr>
    </w:tblStylePr>
    <w:tblStylePr w:type="lastRow">
      <w:rPr>
        <w:b/>
        <w:bCs/>
      </w:rPr>
      <w:tblPr/>
      <w:tcPr>
        <w:tcBorders>
          <w:top w:val="sing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paragraph" w:styleId="NormalWeb">
    <w:name w:val="Normal (Web)"/>
    <w:basedOn w:val="Normal"/>
    <w:uiPriority w:val="99"/>
    <w:unhideWhenUsed/>
    <w:rsid w:val="00273F7A"/>
    <w:pPr>
      <w:spacing w:beforeAutospacing="1" w:after="100" w:afterAutospacing="1" w:line="240" w:lineRule="auto"/>
      <w:jc w:val="left"/>
    </w:pPr>
    <w:rPr>
      <w:rFonts w:ascii="Times New Roman" w:eastAsia="Times New Roman" w:hAnsi="Times New Roman" w:cs="Times New Roman"/>
      <w:lang w:eastAsia="lv-LV"/>
    </w:rPr>
  </w:style>
  <w:style w:type="paragraph" w:styleId="CommentSubject">
    <w:name w:val="annotation subject"/>
    <w:basedOn w:val="CommentText"/>
    <w:next w:val="CommentText"/>
    <w:link w:val="CommentSubjectChar"/>
    <w:uiPriority w:val="99"/>
    <w:semiHidden/>
    <w:unhideWhenUsed/>
    <w:rsid w:val="00052B2B"/>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052B2B"/>
    <w:rPr>
      <w:rFonts w:eastAsiaTheme="minorEastAsia"/>
      <w:b/>
      <w:bCs/>
      <w:sz w:val="20"/>
      <w:szCs w:val="20"/>
      <w:lang w:eastAsia="lv-LV"/>
    </w:rPr>
  </w:style>
  <w:style w:type="character" w:customStyle="1" w:styleId="word">
    <w:name w:val="word"/>
    <w:rsid w:val="008B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378">
      <w:bodyDiv w:val="1"/>
      <w:marLeft w:val="0"/>
      <w:marRight w:val="0"/>
      <w:marTop w:val="0"/>
      <w:marBottom w:val="0"/>
      <w:divBdr>
        <w:top w:val="none" w:sz="0" w:space="0" w:color="auto"/>
        <w:left w:val="none" w:sz="0" w:space="0" w:color="auto"/>
        <w:bottom w:val="none" w:sz="0" w:space="0" w:color="auto"/>
        <w:right w:val="none" w:sz="0" w:space="0" w:color="auto"/>
      </w:divBdr>
    </w:div>
    <w:div w:id="274335834">
      <w:bodyDiv w:val="1"/>
      <w:marLeft w:val="0"/>
      <w:marRight w:val="0"/>
      <w:marTop w:val="0"/>
      <w:marBottom w:val="0"/>
      <w:divBdr>
        <w:top w:val="none" w:sz="0" w:space="0" w:color="auto"/>
        <w:left w:val="none" w:sz="0" w:space="0" w:color="auto"/>
        <w:bottom w:val="none" w:sz="0" w:space="0" w:color="auto"/>
        <w:right w:val="none" w:sz="0" w:space="0" w:color="auto"/>
      </w:divBdr>
    </w:div>
    <w:div w:id="301691384">
      <w:bodyDiv w:val="1"/>
      <w:marLeft w:val="0"/>
      <w:marRight w:val="0"/>
      <w:marTop w:val="0"/>
      <w:marBottom w:val="0"/>
      <w:divBdr>
        <w:top w:val="none" w:sz="0" w:space="0" w:color="auto"/>
        <w:left w:val="none" w:sz="0" w:space="0" w:color="auto"/>
        <w:bottom w:val="none" w:sz="0" w:space="0" w:color="auto"/>
        <w:right w:val="none" w:sz="0" w:space="0" w:color="auto"/>
      </w:divBdr>
    </w:div>
    <w:div w:id="307588474">
      <w:bodyDiv w:val="1"/>
      <w:marLeft w:val="0"/>
      <w:marRight w:val="0"/>
      <w:marTop w:val="0"/>
      <w:marBottom w:val="0"/>
      <w:divBdr>
        <w:top w:val="none" w:sz="0" w:space="0" w:color="auto"/>
        <w:left w:val="none" w:sz="0" w:space="0" w:color="auto"/>
        <w:bottom w:val="none" w:sz="0" w:space="0" w:color="auto"/>
        <w:right w:val="none" w:sz="0" w:space="0" w:color="auto"/>
      </w:divBdr>
    </w:div>
    <w:div w:id="504200421">
      <w:bodyDiv w:val="1"/>
      <w:marLeft w:val="0"/>
      <w:marRight w:val="0"/>
      <w:marTop w:val="0"/>
      <w:marBottom w:val="0"/>
      <w:divBdr>
        <w:top w:val="none" w:sz="0" w:space="0" w:color="auto"/>
        <w:left w:val="none" w:sz="0" w:space="0" w:color="auto"/>
        <w:bottom w:val="none" w:sz="0" w:space="0" w:color="auto"/>
        <w:right w:val="none" w:sz="0" w:space="0" w:color="auto"/>
      </w:divBdr>
    </w:div>
    <w:div w:id="520053463">
      <w:bodyDiv w:val="1"/>
      <w:marLeft w:val="0"/>
      <w:marRight w:val="0"/>
      <w:marTop w:val="0"/>
      <w:marBottom w:val="0"/>
      <w:divBdr>
        <w:top w:val="none" w:sz="0" w:space="0" w:color="auto"/>
        <w:left w:val="none" w:sz="0" w:space="0" w:color="auto"/>
        <w:bottom w:val="none" w:sz="0" w:space="0" w:color="auto"/>
        <w:right w:val="none" w:sz="0" w:space="0" w:color="auto"/>
      </w:divBdr>
    </w:div>
    <w:div w:id="523176131">
      <w:bodyDiv w:val="1"/>
      <w:marLeft w:val="0"/>
      <w:marRight w:val="0"/>
      <w:marTop w:val="0"/>
      <w:marBottom w:val="0"/>
      <w:divBdr>
        <w:top w:val="none" w:sz="0" w:space="0" w:color="auto"/>
        <w:left w:val="none" w:sz="0" w:space="0" w:color="auto"/>
        <w:bottom w:val="none" w:sz="0" w:space="0" w:color="auto"/>
        <w:right w:val="none" w:sz="0" w:space="0" w:color="auto"/>
      </w:divBdr>
    </w:div>
    <w:div w:id="620454500">
      <w:bodyDiv w:val="1"/>
      <w:marLeft w:val="0"/>
      <w:marRight w:val="0"/>
      <w:marTop w:val="0"/>
      <w:marBottom w:val="0"/>
      <w:divBdr>
        <w:top w:val="none" w:sz="0" w:space="0" w:color="auto"/>
        <w:left w:val="none" w:sz="0" w:space="0" w:color="auto"/>
        <w:bottom w:val="none" w:sz="0" w:space="0" w:color="auto"/>
        <w:right w:val="none" w:sz="0" w:space="0" w:color="auto"/>
      </w:divBdr>
    </w:div>
    <w:div w:id="705524372">
      <w:bodyDiv w:val="1"/>
      <w:marLeft w:val="0"/>
      <w:marRight w:val="0"/>
      <w:marTop w:val="0"/>
      <w:marBottom w:val="0"/>
      <w:divBdr>
        <w:top w:val="none" w:sz="0" w:space="0" w:color="auto"/>
        <w:left w:val="none" w:sz="0" w:space="0" w:color="auto"/>
        <w:bottom w:val="none" w:sz="0" w:space="0" w:color="auto"/>
        <w:right w:val="none" w:sz="0" w:space="0" w:color="auto"/>
      </w:divBdr>
    </w:div>
    <w:div w:id="769276212">
      <w:bodyDiv w:val="1"/>
      <w:marLeft w:val="0"/>
      <w:marRight w:val="0"/>
      <w:marTop w:val="0"/>
      <w:marBottom w:val="0"/>
      <w:divBdr>
        <w:top w:val="none" w:sz="0" w:space="0" w:color="auto"/>
        <w:left w:val="none" w:sz="0" w:space="0" w:color="auto"/>
        <w:bottom w:val="none" w:sz="0" w:space="0" w:color="auto"/>
        <w:right w:val="none" w:sz="0" w:space="0" w:color="auto"/>
      </w:divBdr>
    </w:div>
    <w:div w:id="1139346436">
      <w:bodyDiv w:val="1"/>
      <w:marLeft w:val="0"/>
      <w:marRight w:val="0"/>
      <w:marTop w:val="0"/>
      <w:marBottom w:val="0"/>
      <w:divBdr>
        <w:top w:val="none" w:sz="0" w:space="0" w:color="auto"/>
        <w:left w:val="none" w:sz="0" w:space="0" w:color="auto"/>
        <w:bottom w:val="none" w:sz="0" w:space="0" w:color="auto"/>
        <w:right w:val="none" w:sz="0" w:space="0" w:color="auto"/>
      </w:divBdr>
    </w:div>
    <w:div w:id="1207110614">
      <w:bodyDiv w:val="1"/>
      <w:marLeft w:val="0"/>
      <w:marRight w:val="0"/>
      <w:marTop w:val="0"/>
      <w:marBottom w:val="0"/>
      <w:divBdr>
        <w:top w:val="none" w:sz="0" w:space="0" w:color="auto"/>
        <w:left w:val="none" w:sz="0" w:space="0" w:color="auto"/>
        <w:bottom w:val="none" w:sz="0" w:space="0" w:color="auto"/>
        <w:right w:val="none" w:sz="0" w:space="0" w:color="auto"/>
      </w:divBdr>
    </w:div>
    <w:div w:id="1529565494">
      <w:bodyDiv w:val="1"/>
      <w:marLeft w:val="0"/>
      <w:marRight w:val="0"/>
      <w:marTop w:val="0"/>
      <w:marBottom w:val="0"/>
      <w:divBdr>
        <w:top w:val="none" w:sz="0" w:space="0" w:color="auto"/>
        <w:left w:val="none" w:sz="0" w:space="0" w:color="auto"/>
        <w:bottom w:val="none" w:sz="0" w:space="0" w:color="auto"/>
        <w:right w:val="none" w:sz="0" w:space="0" w:color="auto"/>
      </w:divBdr>
    </w:div>
    <w:div w:id="1684551328">
      <w:bodyDiv w:val="1"/>
      <w:marLeft w:val="0"/>
      <w:marRight w:val="0"/>
      <w:marTop w:val="0"/>
      <w:marBottom w:val="0"/>
      <w:divBdr>
        <w:top w:val="none" w:sz="0" w:space="0" w:color="auto"/>
        <w:left w:val="none" w:sz="0" w:space="0" w:color="auto"/>
        <w:bottom w:val="none" w:sz="0" w:space="0" w:color="auto"/>
        <w:right w:val="none" w:sz="0" w:space="0" w:color="auto"/>
      </w:divBdr>
    </w:div>
    <w:div w:id="1879200116">
      <w:bodyDiv w:val="1"/>
      <w:marLeft w:val="0"/>
      <w:marRight w:val="0"/>
      <w:marTop w:val="0"/>
      <w:marBottom w:val="0"/>
      <w:divBdr>
        <w:top w:val="none" w:sz="0" w:space="0" w:color="auto"/>
        <w:left w:val="none" w:sz="0" w:space="0" w:color="auto"/>
        <w:bottom w:val="none" w:sz="0" w:space="0" w:color="auto"/>
        <w:right w:val="none" w:sz="0" w:space="0" w:color="auto"/>
      </w:divBdr>
    </w:div>
    <w:div w:id="19751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ejurasslimnica.lv/lv/darba-piedavajumi"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S1-LPS\Users$\natalija.rate\Desktop\Piejura_2024_budzeta_izpilde_12menesi%20(version%202)J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1-LPS\Users$\natalija.rate\Desktop\Piejura_2024_budzeta_izpilde_12menesi%20(version%202)JB.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64102564102564E-2"/>
          <c:y val="5.4320987654320987E-2"/>
          <c:w val="0.61959785621202945"/>
          <c:h val="0.89135802469135805"/>
        </c:manualLayout>
      </c:layout>
      <c:ofPieChart>
        <c:ofPieType val="bar"/>
        <c:varyColors val="1"/>
        <c:ser>
          <c:idx val="0"/>
          <c:order val="0"/>
          <c:tx>
            <c:strRef>
              <c:f>Analīze!$D$12:$D$13</c:f>
              <c:strCache>
                <c:ptCount val="2"/>
                <c:pt idx="0">
                  <c:v>Izpilde 2025. gada</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E2E-4283-8F64-2FD5E5383F2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E2E-4283-8F64-2FD5E5383F2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E2E-4283-8F64-2FD5E5383F2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E2E-4283-8F64-2FD5E5383F20}"/>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E2E-4283-8F64-2FD5E5383F20}"/>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E2E-4283-8F64-2FD5E5383F20}"/>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E2E-4283-8F64-2FD5E5383F20}"/>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baseline="0">
                    <a:solidFill>
                      <a:schemeClr val="bg1"/>
                    </a:solidFill>
                    <a:latin typeface="Calibri Light" panose="020F0302020204030204" pitchFamily="34" charset="0"/>
                    <a:ea typeface="Calibri Light" panose="020F0302020204030204" pitchFamily="34" charset="0"/>
                    <a:cs typeface="Calibri Light" panose="020F0302020204030204" pitchFamily="34" charset="0"/>
                  </a:defRPr>
                </a:pPr>
                <a:endParaRPr lang="lv-LV"/>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Analīze!$A$14:$A$19</c:f>
              <c:strCache>
                <c:ptCount val="6"/>
                <c:pt idx="0">
                  <c:v>Valsts stacionārie pakalpojumi</c:v>
                </c:pt>
                <c:pt idx="1">
                  <c:v>Valsts ambulatorie pakalpojumi</c:v>
                </c:pt>
                <c:pt idx="2">
                  <c:v>Citi ieņēmumi no valsts budžeta</c:v>
                </c:pt>
                <c:pt idx="3">
                  <c:v>Maksas medicīniskie pakalpojumi</c:v>
                </c:pt>
                <c:pt idx="4">
                  <c:v>Citi saimnieciskās darbības ieņēmumi</c:v>
                </c:pt>
                <c:pt idx="5">
                  <c:v>Citi ieņēmumi</c:v>
                </c:pt>
              </c:strCache>
            </c:strRef>
          </c:cat>
          <c:val>
            <c:numRef>
              <c:f>Analīze!$D$14:$D$19</c:f>
              <c:numCache>
                <c:formatCode>#,##0</c:formatCode>
                <c:ptCount val="6"/>
                <c:pt idx="0">
                  <c:v>2369549</c:v>
                </c:pt>
                <c:pt idx="1">
                  <c:v>510723</c:v>
                </c:pt>
                <c:pt idx="2">
                  <c:v>13058</c:v>
                </c:pt>
                <c:pt idx="3">
                  <c:v>17674</c:v>
                </c:pt>
                <c:pt idx="4">
                  <c:v>49467</c:v>
                </c:pt>
                <c:pt idx="5">
                  <c:v>70543</c:v>
                </c:pt>
              </c:numCache>
            </c:numRef>
          </c:val>
          <c:extLst xmlns:c16r2="http://schemas.microsoft.com/office/drawing/2015/06/chart">
            <c:ext xmlns:c16="http://schemas.microsoft.com/office/drawing/2014/chart" uri="{C3380CC4-5D6E-409C-BE32-E72D297353CC}">
              <c16:uniqueId val="{00000000-E63E-4F1D-98A2-DD3A4D64BDCB}"/>
            </c:ext>
          </c:extLst>
        </c:ser>
        <c:dLbls>
          <c:dLblPos val="bestFit"/>
          <c:showLegendKey val="0"/>
          <c:showVal val="1"/>
          <c:showCatName val="0"/>
          <c:showSerName val="0"/>
          <c:showPercent val="0"/>
          <c:showBubbleSize val="0"/>
          <c:showLeaderLines val="1"/>
        </c:dLbls>
        <c:gapWidth val="100"/>
        <c:splitType val="pos"/>
        <c:splitPos val="4"/>
        <c:secondPieSize val="75"/>
        <c:serLines>
          <c:spPr>
            <a:ln w="9525" cap="flat">
              <a:solidFill>
                <a:srgbClr val="D9D9D9"/>
              </a:solidFill>
              <a:round/>
            </a:ln>
            <a:effectLst/>
          </c:spPr>
        </c:serLines>
      </c:of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1100" b="0" i="0" u="none" strike="noStrike"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Calibri Light" panose="020F0302020204030204" pitchFamily="34" charset="0"/>
          <a:ea typeface="Calibri Light" panose="020F0302020204030204" pitchFamily="34" charset="0"/>
          <a:cs typeface="Calibri Light" panose="020F0302020204030204" pitchFamily="34"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bar"/>
        <c:varyColors val="1"/>
        <c:ser>
          <c:idx val="0"/>
          <c:order val="0"/>
          <c:tx>
            <c:strRef>
              <c:f>Analīze!$D$23</c:f>
              <c:strCache>
                <c:ptCount val="1"/>
                <c:pt idx="0">
                  <c:v>Izpilde 2025. gada</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249-4CF0-87D0-67B2EE44001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249-4CF0-87D0-67B2EE44001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249-4CF0-87D0-67B2EE44001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249-4CF0-87D0-67B2EE440015}"/>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249-4CF0-87D0-67B2EE440015}"/>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249-4CF0-87D0-67B2EE440015}"/>
              </c:ext>
            </c:extLst>
          </c:dPt>
          <c:dLbls>
            <c:dLbl>
              <c:idx val="0"/>
              <c:layout>
                <c:manualLayout>
                  <c:x val="0.10241864245918383"/>
                  <c:y val="-0.1820881425966332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F249-4CF0-87D0-67B2EE440015}"/>
                </c:ext>
                <c:ext xmlns:c15="http://schemas.microsoft.com/office/drawing/2012/chart" uri="{CE6537A1-D6FC-4f65-9D91-7224C49458BB}">
                  <c15:layout/>
                </c:ext>
              </c:extLst>
            </c:dLbl>
            <c:dLbl>
              <c:idx val="1"/>
              <c:layout>
                <c:manualLayout>
                  <c:x val="-6.9566508194272902E-2"/>
                  <c:y val="0.18223529287754694"/>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F249-4CF0-87D0-67B2EE440015}"/>
                </c:ext>
                <c:ext xmlns:c15="http://schemas.microsoft.com/office/drawing/2012/chart" uri="{CE6537A1-D6FC-4f65-9D91-7224C49458BB}">
                  <c15:layout/>
                </c:ext>
              </c:extLst>
            </c:dLbl>
            <c:dLbl>
              <c:idx val="5"/>
              <c:layout>
                <c:manualLayout>
                  <c:x val="-9.7691310773262263E-2"/>
                  <c:y val="0"/>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F249-4CF0-87D0-67B2EE44001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baseline="0">
                    <a:solidFill>
                      <a:schemeClr val="lt1"/>
                    </a:solidFill>
                    <a:latin typeface="Calibri Light" panose="020F0302020204030204" pitchFamily="34" charset="0"/>
                    <a:ea typeface="Calibri Light" panose="020F0302020204030204" pitchFamily="34" charset="0"/>
                    <a:cs typeface="Calibri Light" panose="020F0302020204030204" pitchFamily="34" charset="0"/>
                  </a:defRPr>
                </a:pPr>
                <a:endParaRPr lang="lv-LV"/>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Analīze!$A$25:$A$29</c:f>
              <c:strCache>
                <c:ptCount val="5"/>
                <c:pt idx="0">
                  <c:v>Izdevumi atalgojumam par darbu</c:v>
                </c:pt>
                <c:pt idx="1">
                  <c:v>Darba devēja VSAOI, pabalsti un kompensācijas</c:v>
                </c:pt>
                <c:pt idx="2">
                  <c:v>Izdevumi par pakalpojumiem</c:v>
                </c:pt>
                <c:pt idx="3">
                  <c:v>Izdevumi par precēm</c:v>
                </c:pt>
                <c:pt idx="4">
                  <c:v>Pārējie saimnieciskās darbības izdevumi</c:v>
                </c:pt>
              </c:strCache>
            </c:strRef>
          </c:cat>
          <c:val>
            <c:numRef>
              <c:f>Analīze!$D$25:$D$29</c:f>
              <c:numCache>
                <c:formatCode>#,##0</c:formatCode>
                <c:ptCount val="5"/>
                <c:pt idx="0">
                  <c:v>1976589</c:v>
                </c:pt>
                <c:pt idx="1">
                  <c:v>523883</c:v>
                </c:pt>
                <c:pt idx="2">
                  <c:v>243072</c:v>
                </c:pt>
                <c:pt idx="3">
                  <c:v>240230</c:v>
                </c:pt>
                <c:pt idx="4">
                  <c:v>156459</c:v>
                </c:pt>
              </c:numCache>
            </c:numRef>
          </c:val>
          <c:extLst xmlns:c16r2="http://schemas.microsoft.com/office/drawing/2015/06/chart">
            <c:ext xmlns:c16="http://schemas.microsoft.com/office/drawing/2014/chart" uri="{C3380CC4-5D6E-409C-BE32-E72D297353CC}">
              <c16:uniqueId val="{0000000E-F249-4CF0-87D0-67B2EE440015}"/>
            </c:ext>
          </c:extLst>
        </c:ser>
        <c:dLbls>
          <c:dLblPos val="bestFit"/>
          <c:showLegendKey val="0"/>
          <c:showVal val="1"/>
          <c:showCatName val="0"/>
          <c:showSerName val="0"/>
          <c:showPercent val="0"/>
          <c:showBubbleSize val="0"/>
          <c:showLeaderLines val="1"/>
        </c:dLbls>
        <c:gapWidth val="100"/>
        <c:splitType val="pos"/>
        <c:splitPos val="3"/>
        <c:secondPieSize val="75"/>
        <c:serLines>
          <c:spPr>
            <a:ln w="9525" cap="flat">
              <a:solidFill>
                <a:srgbClr val="D9D9D9"/>
              </a:solidFill>
              <a:round/>
            </a:ln>
            <a:effectLst/>
          </c:spPr>
        </c:serLines>
      </c:ofPieChart>
      <c:spPr>
        <a:noFill/>
        <a:ln>
          <a:noFill/>
        </a:ln>
        <a:effectLst/>
      </c:spPr>
    </c:plotArea>
    <c:legend>
      <c:legendPos val="r"/>
      <c:layout>
        <c:manualLayout>
          <c:xMode val="edge"/>
          <c:yMode val="edge"/>
          <c:x val="0.64806584670841805"/>
          <c:y val="0.10638479972612119"/>
          <c:w val="0.3391749805012379"/>
          <c:h val="0.83553957929171896"/>
        </c:manualLayout>
      </c:layout>
      <c:overlay val="0"/>
      <c:spPr>
        <a:noFill/>
        <a:ln>
          <a:noFill/>
        </a:ln>
        <a:effectLst/>
      </c:spPr>
      <c:txPr>
        <a:bodyPr rot="0" spcFirstLastPara="1" vertOverflow="ellipsis" vert="horz" wrap="square" anchor="ctr" anchorCtr="1"/>
        <a:lstStyle/>
        <a:p>
          <a:pPr rtl="0">
            <a:defRPr sz="1100" b="0" i="0" u="none" strike="noStrike"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Calibri Light" panose="020F0302020204030204" pitchFamily="34" charset="0"/>
          <a:ea typeface="Calibri Light" panose="020F0302020204030204" pitchFamily="34" charset="0"/>
          <a:cs typeface="Calibri Light" panose="020F0302020204030204" pitchFamily="34"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0A45-8479-4ACE-8DD9-949BB231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12</Pages>
  <Words>20433</Words>
  <Characters>11647</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Jevgenijs Blaževičs</dc:creator>
  <cp:keywords/>
  <dc:description/>
  <cp:lastModifiedBy>Natalija Rate</cp:lastModifiedBy>
  <cp:revision>14</cp:revision>
  <cp:lastPrinted>2025-08-11T11:13:00Z</cp:lastPrinted>
  <dcterms:created xsi:type="dcterms:W3CDTF">2025-05-21T12:46:00Z</dcterms:created>
  <dcterms:modified xsi:type="dcterms:W3CDTF">2025-10-31T11:05:00Z</dcterms:modified>
</cp:coreProperties>
</file>