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7FA0C" w14:textId="263A3A7F" w:rsidR="00C912BF" w:rsidRPr="00CE68EA" w:rsidRDefault="00C912BF" w:rsidP="00635981">
      <w:pPr>
        <w:pStyle w:val="Bezatstarpm"/>
      </w:pPr>
      <w:r w:rsidRPr="00CE68EA">
        <w:rPr>
          <w:noProof/>
          <w:lang w:eastAsia="lv-LV"/>
        </w:rPr>
        <w:drawing>
          <wp:inline distT="0" distB="0" distL="0" distR="0" wp14:anchorId="57E7E49A" wp14:editId="45761B72">
            <wp:extent cx="1628775" cy="542925"/>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xt&#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542925"/>
                    </a:xfrm>
                    <a:prstGeom prst="rect">
                      <a:avLst/>
                    </a:prstGeom>
                    <a:noFill/>
                    <a:ln>
                      <a:noFill/>
                    </a:ln>
                  </pic:spPr>
                </pic:pic>
              </a:graphicData>
            </a:graphic>
          </wp:inline>
        </w:drawing>
      </w:r>
    </w:p>
    <w:p w14:paraId="4990737A" w14:textId="5FC6B34E" w:rsidR="00C912BF" w:rsidRPr="00CE68EA" w:rsidRDefault="00C912BF" w:rsidP="00131E43">
      <w:pPr>
        <w:pStyle w:val="Nosaukums"/>
        <w:rPr>
          <w:rFonts w:asciiTheme="minorHAnsi" w:hAnsiTheme="minorHAnsi" w:cstheme="minorHAnsi"/>
        </w:rPr>
      </w:pPr>
      <w:r w:rsidRPr="00CE68EA">
        <w:rPr>
          <w:rFonts w:asciiTheme="minorHAnsi" w:hAnsiTheme="minorHAnsi" w:cstheme="minorHAnsi"/>
        </w:rPr>
        <w:t>VSIA “PIEJŪRAS</w:t>
      </w:r>
      <w:r w:rsidR="00F50B00" w:rsidRPr="00CE68EA">
        <w:rPr>
          <w:rFonts w:asciiTheme="minorHAnsi" w:hAnsiTheme="minorHAnsi" w:cstheme="minorHAnsi"/>
        </w:rPr>
        <w:t xml:space="preserve"> </w:t>
      </w:r>
      <w:r w:rsidRPr="00CE68EA">
        <w:rPr>
          <w:rFonts w:asciiTheme="minorHAnsi" w:hAnsiTheme="minorHAnsi" w:cstheme="minorHAnsi"/>
        </w:rPr>
        <w:t>SLIMNĪCA”</w:t>
      </w:r>
    </w:p>
    <w:p w14:paraId="45AAF659" w14:textId="39502BBF" w:rsidR="00C912BF" w:rsidRPr="00CE68EA" w:rsidRDefault="00C912BF" w:rsidP="00131E43">
      <w:pPr>
        <w:pStyle w:val="Nosaukums"/>
        <w:rPr>
          <w:rFonts w:asciiTheme="minorHAnsi" w:hAnsiTheme="minorHAnsi" w:cstheme="minorHAnsi"/>
        </w:rPr>
      </w:pPr>
      <w:r w:rsidRPr="00CE68EA">
        <w:rPr>
          <w:rFonts w:asciiTheme="minorHAnsi" w:hAnsiTheme="minorHAnsi" w:cstheme="minorHAnsi"/>
        </w:rPr>
        <w:t>STARPPERIODU</w:t>
      </w:r>
      <w:r w:rsidR="00F50B00" w:rsidRPr="00CE68EA">
        <w:rPr>
          <w:rFonts w:asciiTheme="minorHAnsi" w:hAnsiTheme="minorHAnsi" w:cstheme="minorHAnsi"/>
        </w:rPr>
        <w:t xml:space="preserve"> </w:t>
      </w:r>
      <w:r w:rsidRPr="00CE68EA">
        <w:rPr>
          <w:rFonts w:asciiTheme="minorHAnsi" w:hAnsiTheme="minorHAnsi" w:cstheme="minorHAnsi"/>
        </w:rPr>
        <w:t>VADĪBAS</w:t>
      </w:r>
      <w:r w:rsidR="00F50B00" w:rsidRPr="00CE68EA">
        <w:rPr>
          <w:rFonts w:asciiTheme="minorHAnsi" w:hAnsiTheme="minorHAnsi" w:cstheme="minorHAnsi"/>
        </w:rPr>
        <w:t xml:space="preserve"> </w:t>
      </w:r>
      <w:r w:rsidRPr="00CE68EA">
        <w:rPr>
          <w:rFonts w:asciiTheme="minorHAnsi" w:hAnsiTheme="minorHAnsi" w:cstheme="minorHAnsi"/>
        </w:rPr>
        <w:t>ZIŅOJUMS</w:t>
      </w:r>
    </w:p>
    <w:p w14:paraId="4AB984CE" w14:textId="6F448D94" w:rsidR="00C912BF" w:rsidRPr="00CE68EA" w:rsidRDefault="00C912BF" w:rsidP="00131E43">
      <w:pPr>
        <w:pStyle w:val="Nosaukums"/>
        <w:rPr>
          <w:rFonts w:asciiTheme="minorHAnsi" w:hAnsiTheme="minorHAnsi" w:cstheme="minorHAnsi"/>
        </w:rPr>
      </w:pPr>
      <w:r w:rsidRPr="00CE68EA">
        <w:rPr>
          <w:rFonts w:asciiTheme="minorHAnsi" w:hAnsiTheme="minorHAnsi" w:cstheme="minorHAnsi"/>
        </w:rPr>
        <w:t>par 202</w:t>
      </w:r>
      <w:r w:rsidR="00273F7A" w:rsidRPr="00CE68EA">
        <w:rPr>
          <w:rFonts w:asciiTheme="minorHAnsi" w:hAnsiTheme="minorHAnsi" w:cstheme="minorHAnsi"/>
        </w:rPr>
        <w:t>5</w:t>
      </w:r>
      <w:r w:rsidRPr="00CE68EA">
        <w:rPr>
          <w:rFonts w:asciiTheme="minorHAnsi" w:hAnsiTheme="minorHAnsi" w:cstheme="minorHAnsi"/>
        </w:rPr>
        <w:t xml:space="preserve">. gada </w:t>
      </w:r>
      <w:r w:rsidR="00273F7A" w:rsidRPr="00CE68EA">
        <w:rPr>
          <w:rFonts w:asciiTheme="minorHAnsi" w:hAnsiTheme="minorHAnsi" w:cstheme="minorHAnsi"/>
        </w:rPr>
        <w:t>3</w:t>
      </w:r>
      <w:r w:rsidRPr="00CE68EA">
        <w:rPr>
          <w:rFonts w:asciiTheme="minorHAnsi" w:hAnsiTheme="minorHAnsi" w:cstheme="minorHAnsi"/>
        </w:rPr>
        <w:t xml:space="preserve"> mēnešiem (01.01.202</w:t>
      </w:r>
      <w:r w:rsidR="00273F7A" w:rsidRPr="00CE68EA">
        <w:rPr>
          <w:rFonts w:asciiTheme="minorHAnsi" w:hAnsiTheme="minorHAnsi" w:cstheme="minorHAnsi"/>
        </w:rPr>
        <w:t>5</w:t>
      </w:r>
      <w:r w:rsidRPr="00CE68EA">
        <w:rPr>
          <w:rFonts w:asciiTheme="minorHAnsi" w:hAnsiTheme="minorHAnsi" w:cstheme="minorHAnsi"/>
        </w:rPr>
        <w:t>. – 31.</w:t>
      </w:r>
      <w:r w:rsidR="00273F7A" w:rsidRPr="00CE68EA">
        <w:rPr>
          <w:rFonts w:asciiTheme="minorHAnsi" w:hAnsiTheme="minorHAnsi" w:cstheme="minorHAnsi"/>
        </w:rPr>
        <w:t>03</w:t>
      </w:r>
      <w:r w:rsidRPr="00CE68EA">
        <w:rPr>
          <w:rFonts w:asciiTheme="minorHAnsi" w:hAnsiTheme="minorHAnsi" w:cstheme="minorHAnsi"/>
        </w:rPr>
        <w:t>.202</w:t>
      </w:r>
      <w:r w:rsidR="00273F7A" w:rsidRPr="00CE68EA">
        <w:rPr>
          <w:rFonts w:asciiTheme="minorHAnsi" w:hAnsiTheme="minorHAnsi" w:cstheme="minorHAnsi"/>
        </w:rPr>
        <w:t>5</w:t>
      </w:r>
      <w:r w:rsidRPr="00CE68EA">
        <w:rPr>
          <w:rFonts w:asciiTheme="minorHAnsi" w:hAnsiTheme="minorHAnsi" w:cstheme="minorHAnsi"/>
        </w:rPr>
        <w:t>.)</w:t>
      </w:r>
    </w:p>
    <w:p w14:paraId="4A28AFD2" w14:textId="77777777" w:rsidR="00C912BF" w:rsidRPr="00CE68EA" w:rsidRDefault="00C912BF" w:rsidP="00131E43">
      <w:pPr>
        <w:rPr>
          <w:rFonts w:cstheme="minorHAnsi"/>
        </w:rPr>
      </w:pPr>
    </w:p>
    <w:p w14:paraId="15EDF517" w14:textId="10971712" w:rsidR="00C912BF" w:rsidRPr="00CE68EA" w:rsidRDefault="00C912BF" w:rsidP="00131E43">
      <w:pPr>
        <w:rPr>
          <w:rFonts w:cstheme="minorHAnsi"/>
          <w:color w:val="000000" w:themeColor="text1"/>
        </w:rPr>
      </w:pPr>
      <w:r w:rsidRPr="00CE68EA">
        <w:rPr>
          <w:rFonts w:cstheme="minorHAnsi"/>
          <w:color w:val="000000" w:themeColor="text1"/>
        </w:rPr>
        <w:t xml:space="preserve">VSIA “Piejūras slimnīca” (turpmāk – Slimnīca) ir Latvijas Republikas Veselības ministrijas pārraudzībā esoša valsts kapitālsabiedrība, kas sniedz ambulatoros un stacionāros psihiskās veselības aprūpes pakalpojumus, papildus izmantojot nemedikamentozās terapijas metodes un regulāri paplašinot rehabilitācijas komandu. </w:t>
      </w:r>
    </w:p>
    <w:p w14:paraId="64E0391D" w14:textId="0C147AC2" w:rsidR="00C912BF" w:rsidRPr="00CE68EA" w:rsidRDefault="00C912BF" w:rsidP="00131E43">
      <w:pPr>
        <w:rPr>
          <w:rFonts w:cstheme="minorHAnsi"/>
          <w:color w:val="000000" w:themeColor="text1"/>
        </w:rPr>
      </w:pPr>
      <w:r w:rsidRPr="00CE68EA">
        <w:rPr>
          <w:rFonts w:cstheme="minorHAnsi"/>
          <w:color w:val="000000" w:themeColor="text1"/>
        </w:rPr>
        <w:t xml:space="preserve">Pārskata periodā Slimnīcā turpina darboties stacionārs ar </w:t>
      </w:r>
      <w:r w:rsidR="00421D75" w:rsidRPr="00CE68EA">
        <w:rPr>
          <w:rFonts w:cstheme="minorHAnsi"/>
          <w:color w:val="000000" w:themeColor="text1"/>
        </w:rPr>
        <w:t>110</w:t>
      </w:r>
      <w:r w:rsidRPr="00CE68EA">
        <w:rPr>
          <w:rFonts w:cstheme="minorHAnsi"/>
          <w:color w:val="000000" w:themeColor="text1"/>
        </w:rPr>
        <w:t xml:space="preserve"> gultām, ambulatorā daļa un dienas stacionārs ar 60 vietām, tai skaitā 50 pieaugušajiem un 10 bērniem. </w:t>
      </w:r>
      <w:r w:rsidR="004C597F" w:rsidRPr="00CE68EA">
        <w:rPr>
          <w:rFonts w:cstheme="minorHAnsi"/>
          <w:color w:val="000000" w:themeColor="text1"/>
        </w:rPr>
        <w:t xml:space="preserve">Ar 2025.gada 1.janvāri slimnīcas sniedzamo pakalpojumu klāsts tiek paplašināts ar </w:t>
      </w:r>
      <w:r w:rsidR="00421D75" w:rsidRPr="00CE68EA">
        <w:rPr>
          <w:rFonts w:cstheme="minorHAnsi"/>
          <w:color w:val="000000" w:themeColor="text1"/>
        </w:rPr>
        <w:t xml:space="preserve">stacionāriem un ambulatoriem pakalpojumiem </w:t>
      </w:r>
      <w:r w:rsidR="004C597F" w:rsidRPr="00CE68EA">
        <w:rPr>
          <w:rFonts w:cstheme="minorHAnsi"/>
          <w:color w:val="000000" w:themeColor="text1"/>
        </w:rPr>
        <w:t>narkoloģ</w:t>
      </w:r>
      <w:r w:rsidR="00421D75" w:rsidRPr="00CE68EA">
        <w:rPr>
          <w:rFonts w:cstheme="minorHAnsi"/>
          <w:color w:val="000000" w:themeColor="text1"/>
        </w:rPr>
        <w:t>ijas profilā.</w:t>
      </w:r>
      <w:r w:rsidR="004C597F" w:rsidRPr="00CE68EA">
        <w:rPr>
          <w:rFonts w:cstheme="minorHAnsi"/>
          <w:color w:val="000000" w:themeColor="text1"/>
        </w:rPr>
        <w:t xml:space="preserve"> </w:t>
      </w:r>
    </w:p>
    <w:p w14:paraId="08FBEB80" w14:textId="0FCEC20D" w:rsidR="00C912BF" w:rsidRPr="00CE68EA" w:rsidRDefault="69630B24" w:rsidP="00131E43">
      <w:pPr>
        <w:rPr>
          <w:rFonts w:cstheme="minorHAnsi"/>
          <w:color w:val="000000" w:themeColor="text1"/>
        </w:rPr>
      </w:pPr>
      <w:r w:rsidRPr="00CE68EA">
        <w:rPr>
          <w:rFonts w:cstheme="minorHAnsi"/>
          <w:color w:val="000000" w:themeColor="text1"/>
        </w:rPr>
        <w:t xml:space="preserve">Stacionārā turpinās pacientu, t.sk. </w:t>
      </w:r>
      <w:proofErr w:type="spellStart"/>
      <w:r w:rsidRPr="00CE68EA">
        <w:rPr>
          <w:rFonts w:cstheme="minorHAnsi"/>
          <w:color w:val="000000" w:themeColor="text1"/>
        </w:rPr>
        <w:t>neirotisko</w:t>
      </w:r>
      <w:proofErr w:type="spellEnd"/>
      <w:r w:rsidRPr="00CE68EA">
        <w:rPr>
          <w:rFonts w:cstheme="minorHAnsi"/>
          <w:color w:val="000000" w:themeColor="text1"/>
        </w:rPr>
        <w:t xml:space="preserve"> pacientu ārstēšana un </w:t>
      </w:r>
      <w:r w:rsidR="00421D75" w:rsidRPr="00CE68EA">
        <w:rPr>
          <w:rFonts w:cstheme="minorHAnsi"/>
          <w:color w:val="000000" w:themeColor="text1"/>
        </w:rPr>
        <w:t xml:space="preserve">tiek sniegta </w:t>
      </w:r>
      <w:proofErr w:type="spellStart"/>
      <w:r w:rsidRPr="00CE68EA">
        <w:rPr>
          <w:rFonts w:cstheme="minorHAnsi"/>
          <w:color w:val="000000" w:themeColor="text1"/>
        </w:rPr>
        <w:t>multiprofesionāla</w:t>
      </w:r>
      <w:proofErr w:type="spellEnd"/>
      <w:r w:rsidRPr="00CE68EA">
        <w:rPr>
          <w:rFonts w:cstheme="minorHAnsi"/>
          <w:color w:val="000000" w:themeColor="text1"/>
        </w:rPr>
        <w:t xml:space="preserve"> rehabilitācija. Pacientu aprūpi nodrošina </w:t>
      </w:r>
      <w:proofErr w:type="spellStart"/>
      <w:r w:rsidRPr="00CE68EA">
        <w:rPr>
          <w:rFonts w:cstheme="minorHAnsi"/>
          <w:color w:val="000000" w:themeColor="text1"/>
        </w:rPr>
        <w:t>multiprofesionālā</w:t>
      </w:r>
      <w:proofErr w:type="spellEnd"/>
      <w:r w:rsidRPr="00CE68EA">
        <w:rPr>
          <w:rFonts w:cstheme="minorHAnsi"/>
          <w:color w:val="000000" w:themeColor="text1"/>
        </w:rPr>
        <w:t xml:space="preserve"> speciālistu komanda. Paredzams, ka pieprasījums pēc </w:t>
      </w:r>
      <w:proofErr w:type="spellStart"/>
      <w:r w:rsidRPr="00CE68EA">
        <w:rPr>
          <w:rFonts w:cstheme="minorHAnsi"/>
          <w:color w:val="000000" w:themeColor="text1"/>
        </w:rPr>
        <w:t>neirotisko</w:t>
      </w:r>
      <w:proofErr w:type="spellEnd"/>
      <w:r w:rsidRPr="00CE68EA">
        <w:rPr>
          <w:rFonts w:cstheme="minorHAnsi"/>
          <w:color w:val="000000" w:themeColor="text1"/>
        </w:rPr>
        <w:t xml:space="preserve"> pacientu psihiatriskās aprūpes pieaugs, ņemot vērā karadarbību Ukrainā un Covid-19 pandēmijas radītās sekas sabiedrības psihiskajā veselībā. Psihiatrisko ārstēšanu un rehabilitāciju saņēmuši vairāki Ukrainas iedzīvotāji (bērni un pieaugušie) – gan hroniski slimojošie pacienti ar psihiskās veselības traucējumiem, gan personas, kam attīstījušies </w:t>
      </w:r>
      <w:proofErr w:type="spellStart"/>
      <w:r w:rsidRPr="00CE68EA">
        <w:rPr>
          <w:rFonts w:cstheme="minorHAnsi"/>
          <w:color w:val="000000" w:themeColor="text1"/>
        </w:rPr>
        <w:t>posttraumatiskā</w:t>
      </w:r>
      <w:proofErr w:type="spellEnd"/>
      <w:r w:rsidRPr="00CE68EA">
        <w:rPr>
          <w:rFonts w:cstheme="minorHAnsi"/>
          <w:color w:val="000000" w:themeColor="text1"/>
        </w:rPr>
        <w:t xml:space="preserve"> stresa simptomi pēc piedzīvotās karadarbības Ukrainā.</w:t>
      </w:r>
    </w:p>
    <w:p w14:paraId="4386386F" w14:textId="5FC7D15B" w:rsidR="00C912BF" w:rsidRPr="00CE68EA" w:rsidRDefault="69630B24" w:rsidP="00131E43">
      <w:pPr>
        <w:rPr>
          <w:rFonts w:cstheme="minorHAnsi"/>
          <w:color w:val="000000" w:themeColor="text1"/>
        </w:rPr>
      </w:pPr>
      <w:r w:rsidRPr="00CE68EA">
        <w:rPr>
          <w:rFonts w:cstheme="minorHAnsi"/>
          <w:color w:val="000000" w:themeColor="text1"/>
        </w:rPr>
        <w:t xml:space="preserve">Bērnu psihiatriskās aprūpes un diagnostikas iespējas ir paplašinātas. Tiek nodrošināta </w:t>
      </w:r>
      <w:proofErr w:type="spellStart"/>
      <w:r w:rsidRPr="00CE68EA">
        <w:rPr>
          <w:rFonts w:cstheme="minorHAnsi"/>
          <w:color w:val="000000" w:themeColor="text1"/>
        </w:rPr>
        <w:t>autiskā</w:t>
      </w:r>
      <w:proofErr w:type="spellEnd"/>
      <w:r w:rsidRPr="00CE68EA">
        <w:rPr>
          <w:rFonts w:cstheme="minorHAnsi"/>
          <w:color w:val="000000" w:themeColor="text1"/>
        </w:rPr>
        <w:t xml:space="preserve"> spektra traucējumu diagnostika, izmantojot ADOS testu. Viens klīniskais psihologs ir apguvis ABA terapijas apmācību.</w:t>
      </w:r>
    </w:p>
    <w:p w14:paraId="0FB78B52" w14:textId="5BE05ACF" w:rsidR="00C912BF" w:rsidRPr="00CE68EA" w:rsidRDefault="00C912BF" w:rsidP="003D2257">
      <w:pPr>
        <w:pStyle w:val="Virsraksts1"/>
        <w:rPr>
          <w:rFonts w:cstheme="minorHAnsi"/>
        </w:rPr>
      </w:pPr>
      <w:r w:rsidRPr="00CE68EA">
        <w:rPr>
          <w:rFonts w:cstheme="minorHAnsi"/>
        </w:rPr>
        <w:t>Attīstības projekti</w:t>
      </w:r>
    </w:p>
    <w:p w14:paraId="3960FBA1" w14:textId="77777777" w:rsidR="00C912BF" w:rsidRPr="00CE68EA" w:rsidRDefault="00C912BF" w:rsidP="00131E43">
      <w:pPr>
        <w:pStyle w:val="Virsraksts2"/>
        <w:rPr>
          <w:rFonts w:cstheme="minorHAnsi"/>
        </w:rPr>
      </w:pPr>
      <w:r w:rsidRPr="00CE68EA">
        <w:rPr>
          <w:rFonts w:cstheme="minorHAnsi"/>
        </w:rPr>
        <w:t>Uzņemšanas nodaļas rekonstrukcija</w:t>
      </w:r>
    </w:p>
    <w:p w14:paraId="62532281" w14:textId="77777777" w:rsidR="00273F7A" w:rsidRPr="00CE68EA" w:rsidRDefault="00273F7A" w:rsidP="00273F7A">
      <w:pPr>
        <w:rPr>
          <w:rFonts w:cstheme="minorHAnsi"/>
        </w:rPr>
      </w:pPr>
      <w:r w:rsidRPr="00CE68EA">
        <w:rPr>
          <w:rFonts w:cstheme="minorHAnsi"/>
        </w:rPr>
        <w:t xml:space="preserve">Izvērtējot Slimnīcas esošo infrastruktūru un iespēju attīstīt pakalpojumus, tai skaitā uzsākt sniegt Narkoloģijas profila pakalpojumus, tika identificēta nepieciešamība rekonstruēt pacientu Uzņemšanas nodaļu. Rekonstrukcija bija nepieciešama ne tikai pacientu apkalpošanas kvalitātes uzlabošanai, bet arī, lai izpildītu minimālās prasības, kuras ir noteiktas Ārstniecības likumā un Ministru kabineta noteikumos, saistībā ar alkoholisma, narkomānijas un toksikomānijas slimnieku ārstēšanu (izolatora izveide, atbilstošu observācijas telpu nodrošināšana u.c.). </w:t>
      </w:r>
    </w:p>
    <w:p w14:paraId="2A5F8E53" w14:textId="6218F2C5" w:rsidR="00273F7A" w:rsidRPr="00CE68EA" w:rsidRDefault="002513D2" w:rsidP="00273F7A">
      <w:pPr>
        <w:rPr>
          <w:rFonts w:cstheme="minorHAnsi"/>
        </w:rPr>
      </w:pPr>
      <w:r w:rsidRPr="00CE68EA">
        <w:rPr>
          <w:rFonts w:cstheme="minorHAnsi"/>
        </w:rPr>
        <w:t>2024.gad</w:t>
      </w:r>
      <w:r w:rsidR="006D2D85" w:rsidRPr="00CE68EA">
        <w:rPr>
          <w:rFonts w:cstheme="minorHAnsi"/>
        </w:rPr>
        <w:t xml:space="preserve">ā </w:t>
      </w:r>
      <w:r w:rsidRPr="00CE68EA">
        <w:rPr>
          <w:rFonts w:cstheme="minorHAnsi"/>
        </w:rPr>
        <w:t xml:space="preserve">ir uzsākti ēkas vienkāršotās atjaunošanas darbi, lai būtu iespēja </w:t>
      </w:r>
      <w:r w:rsidR="00273F7A" w:rsidRPr="00CE68EA">
        <w:rPr>
          <w:rFonts w:cstheme="minorHAnsi"/>
        </w:rPr>
        <w:t>Uzņemšanas nodaļ</w:t>
      </w:r>
      <w:r w:rsidRPr="00CE68EA">
        <w:rPr>
          <w:rFonts w:cstheme="minorHAnsi"/>
        </w:rPr>
        <w:t>u</w:t>
      </w:r>
      <w:r w:rsidR="00273F7A" w:rsidRPr="00CE68EA">
        <w:rPr>
          <w:rFonts w:cstheme="minorHAnsi"/>
        </w:rPr>
        <w:t xml:space="preserve"> izvietot atsevišķā ēkā ar funkcionāli ērti un plaši lietojamām telpām. </w:t>
      </w:r>
    </w:p>
    <w:p w14:paraId="2EE3C95D" w14:textId="77777777" w:rsidR="00273F7A" w:rsidRPr="00CE68EA" w:rsidRDefault="00273F7A" w:rsidP="00273F7A">
      <w:pPr>
        <w:rPr>
          <w:rFonts w:cstheme="minorHAnsi"/>
        </w:rPr>
      </w:pPr>
      <w:r w:rsidRPr="00CE68EA">
        <w:rPr>
          <w:rFonts w:cstheme="minorHAnsi"/>
        </w:rPr>
        <w:lastRenderedPageBreak/>
        <w:t xml:space="preserve">Vienlaikus turpinājās darbs pie finansējuma piesaistes Uzņemšanas nodaļas būvniecības izdevumu segšanai. 2024.gada decembrī sadarbībā ar VSIA “Nacionālais psihiskās veselības centrs” ir iesniegts projekta pieteikums finansējuma piesaistei Eiropas Savienības kohēzijas politikas programmas 2021.-2027.gadam 4.1.1. specifiskā atbalsta mērķa “Nodrošināt vienlīdzīgu piekļuvi veselības aprūpei un stiprināt veselības sistēmu, tostarp primārās veselības aprūpes noturību” 4.1.1.1. pasākuma “Ārstniecības iestāžu infrastruktūras attīstība” trešās kārtas ietvaros. Pārskata periodā ir saņemts Centrālās finanšu un līgumu aģentūras atzinums Nr. 39-2-10/1693, par projekta apstiprināšanu un nosacījumu izpildi. </w:t>
      </w:r>
    </w:p>
    <w:p w14:paraId="73B0CC00" w14:textId="77777777" w:rsidR="00273F7A" w:rsidRPr="00CE68EA" w:rsidRDefault="00273F7A" w:rsidP="00273F7A">
      <w:pPr>
        <w:rPr>
          <w:rFonts w:cstheme="minorHAnsi"/>
        </w:rPr>
      </w:pPr>
      <w:r w:rsidRPr="00CE68EA">
        <w:rPr>
          <w:rFonts w:cstheme="minorHAnsi"/>
        </w:rPr>
        <w:t xml:space="preserve">Uzņemšanas nodaļas telpu vienkāršotās atjaunošanas būvdarbi ir uzsākti 2024.gada oktobrī un plānotais darbu pabeigšanas termiņš ir 2025.gada jūnijs. </w:t>
      </w:r>
    </w:p>
    <w:p w14:paraId="608F0652" w14:textId="4DBE81C8" w:rsidR="00273F7A" w:rsidRPr="00CE68EA" w:rsidRDefault="00273F7A" w:rsidP="00273F7A">
      <w:pPr>
        <w:rPr>
          <w:rFonts w:cstheme="minorHAnsi"/>
        </w:rPr>
      </w:pPr>
      <w:r w:rsidRPr="00CE68EA">
        <w:rPr>
          <w:rFonts w:cstheme="minorHAnsi"/>
        </w:rPr>
        <w:t xml:space="preserve">Lai uzlabotu pacientu telpu logu izmantošanas funkcionalitāti un ēkas energoefektivitāti, papildus telpu vienkāršotai atjaunošanai, ir pieņemts lēmums veikt ēkas logu nomaiņu. Pārskata periodā ir veikta publiska iepirkuma procedūra un noslēgts līgums par Uzņemšanas nodaļas ēkas logu nomaiņu. </w:t>
      </w:r>
    </w:p>
    <w:p w14:paraId="69F26E66" w14:textId="0E3C96E9" w:rsidR="00273F7A" w:rsidRPr="00CE68EA" w:rsidRDefault="00273F7A" w:rsidP="00273F7A">
      <w:pPr>
        <w:rPr>
          <w:rFonts w:cstheme="minorHAnsi"/>
        </w:rPr>
      </w:pPr>
      <w:r w:rsidRPr="00CE68EA">
        <w:rPr>
          <w:rFonts w:cstheme="minorHAnsi"/>
        </w:rPr>
        <w:t xml:space="preserve">Uzņemšanas nodaļu plānots reorganizēt un pārcelt darbību uz rekonstruētām telpām 2025.gada </w:t>
      </w:r>
      <w:r w:rsidR="00340854">
        <w:rPr>
          <w:rFonts w:cstheme="minorHAnsi"/>
        </w:rPr>
        <w:t>augustā</w:t>
      </w:r>
      <w:r w:rsidRPr="00CE68EA">
        <w:rPr>
          <w:rFonts w:cstheme="minorHAnsi"/>
        </w:rPr>
        <w:t>.</w:t>
      </w:r>
    </w:p>
    <w:p w14:paraId="2FD83CB3" w14:textId="77777777" w:rsidR="00C912BF" w:rsidRPr="00CE68EA" w:rsidRDefault="00C912BF" w:rsidP="00131E43">
      <w:pPr>
        <w:pStyle w:val="Virsraksts2"/>
        <w:rPr>
          <w:rFonts w:cstheme="minorHAnsi"/>
        </w:rPr>
      </w:pPr>
      <w:r w:rsidRPr="00CE68EA">
        <w:rPr>
          <w:rFonts w:cstheme="minorHAnsi"/>
        </w:rPr>
        <w:t>INO INCLUSION</w:t>
      </w:r>
    </w:p>
    <w:p w14:paraId="5C761F34" w14:textId="77777777" w:rsidR="00273F7A" w:rsidRPr="00CE68EA" w:rsidRDefault="00273F7A" w:rsidP="00273F7A">
      <w:pPr>
        <w:rPr>
          <w:rFonts w:cstheme="minorHAnsi"/>
        </w:rPr>
      </w:pPr>
      <w:r w:rsidRPr="00CE68EA">
        <w:rPr>
          <w:rFonts w:cstheme="minorHAnsi"/>
        </w:rPr>
        <w:t xml:space="preserve">2024.gada februārī ir uzsākts ieviest </w:t>
      </w:r>
      <w:proofErr w:type="spellStart"/>
      <w:r w:rsidRPr="00CE68EA">
        <w:rPr>
          <w:rFonts w:cstheme="minorHAnsi"/>
        </w:rPr>
        <w:t>Interreg</w:t>
      </w:r>
      <w:proofErr w:type="spellEnd"/>
      <w:r w:rsidRPr="00CE68EA">
        <w:rPr>
          <w:rFonts w:cstheme="minorHAnsi"/>
        </w:rPr>
        <w:t xml:space="preserve"> Latvijas – Lietuvas pārrobežu sadarbības programmas 2021. – 2027. gadam projekts “</w:t>
      </w:r>
      <w:proofErr w:type="spellStart"/>
      <w:r w:rsidRPr="00CE68EA">
        <w:rPr>
          <w:rFonts w:cstheme="minorHAnsi"/>
        </w:rPr>
        <w:t>Innovative</w:t>
      </w:r>
      <w:proofErr w:type="spellEnd"/>
      <w:r w:rsidRPr="00CE68EA">
        <w:rPr>
          <w:rFonts w:cstheme="minorHAnsi"/>
        </w:rPr>
        <w:t xml:space="preserve"> </w:t>
      </w:r>
      <w:proofErr w:type="spellStart"/>
      <w:r w:rsidRPr="00CE68EA">
        <w:rPr>
          <w:rFonts w:cstheme="minorHAnsi"/>
        </w:rPr>
        <w:t>psychosocial</w:t>
      </w:r>
      <w:proofErr w:type="spellEnd"/>
      <w:r w:rsidRPr="00CE68EA">
        <w:rPr>
          <w:rFonts w:cstheme="minorHAnsi"/>
        </w:rPr>
        <w:t xml:space="preserve"> </w:t>
      </w:r>
      <w:proofErr w:type="spellStart"/>
      <w:r w:rsidRPr="00CE68EA">
        <w:rPr>
          <w:rFonts w:cstheme="minorHAnsi"/>
        </w:rPr>
        <w:t>and</w:t>
      </w:r>
      <w:proofErr w:type="spellEnd"/>
      <w:r w:rsidRPr="00CE68EA">
        <w:rPr>
          <w:rFonts w:cstheme="minorHAnsi"/>
        </w:rPr>
        <w:t xml:space="preserve"> </w:t>
      </w:r>
      <w:proofErr w:type="spellStart"/>
      <w:r w:rsidRPr="00CE68EA">
        <w:rPr>
          <w:rFonts w:cstheme="minorHAnsi"/>
        </w:rPr>
        <w:t>physical</w:t>
      </w:r>
      <w:proofErr w:type="spellEnd"/>
      <w:r w:rsidRPr="00CE68EA">
        <w:rPr>
          <w:rFonts w:cstheme="minorHAnsi"/>
        </w:rPr>
        <w:t xml:space="preserve"> </w:t>
      </w:r>
      <w:proofErr w:type="spellStart"/>
      <w:r w:rsidRPr="00CE68EA">
        <w:rPr>
          <w:rFonts w:cstheme="minorHAnsi"/>
        </w:rPr>
        <w:t>rehabilitation</w:t>
      </w:r>
      <w:proofErr w:type="spellEnd"/>
      <w:r w:rsidRPr="00CE68EA">
        <w:rPr>
          <w:rFonts w:cstheme="minorHAnsi"/>
        </w:rPr>
        <w:t xml:space="preserve"> </w:t>
      </w:r>
      <w:proofErr w:type="spellStart"/>
      <w:r w:rsidRPr="00CE68EA">
        <w:rPr>
          <w:rFonts w:cstheme="minorHAnsi"/>
        </w:rPr>
        <w:t>methods</w:t>
      </w:r>
      <w:proofErr w:type="spellEnd"/>
      <w:r w:rsidRPr="00CE68EA">
        <w:rPr>
          <w:rFonts w:cstheme="minorHAnsi"/>
        </w:rPr>
        <w:t xml:space="preserve"> </w:t>
      </w:r>
      <w:proofErr w:type="spellStart"/>
      <w:r w:rsidRPr="00CE68EA">
        <w:rPr>
          <w:rFonts w:cstheme="minorHAnsi"/>
        </w:rPr>
        <w:t>for</w:t>
      </w:r>
      <w:proofErr w:type="spellEnd"/>
      <w:r w:rsidRPr="00CE68EA">
        <w:rPr>
          <w:rFonts w:cstheme="minorHAnsi"/>
        </w:rPr>
        <w:t xml:space="preserve"> </w:t>
      </w:r>
      <w:proofErr w:type="spellStart"/>
      <w:r w:rsidRPr="00CE68EA">
        <w:rPr>
          <w:rFonts w:cstheme="minorHAnsi"/>
        </w:rPr>
        <w:t>vulnerable</w:t>
      </w:r>
      <w:proofErr w:type="spellEnd"/>
      <w:r w:rsidRPr="00CE68EA">
        <w:rPr>
          <w:rFonts w:cstheme="minorHAnsi"/>
        </w:rPr>
        <w:t xml:space="preserve"> </w:t>
      </w:r>
      <w:proofErr w:type="spellStart"/>
      <w:r w:rsidRPr="00CE68EA">
        <w:rPr>
          <w:rFonts w:cstheme="minorHAnsi"/>
        </w:rPr>
        <w:t>people</w:t>
      </w:r>
      <w:proofErr w:type="spellEnd"/>
      <w:r w:rsidRPr="00CE68EA">
        <w:rPr>
          <w:rFonts w:cstheme="minorHAnsi"/>
        </w:rPr>
        <w:t xml:space="preserve"> stress </w:t>
      </w:r>
      <w:proofErr w:type="spellStart"/>
      <w:r w:rsidRPr="00CE68EA">
        <w:rPr>
          <w:rFonts w:cstheme="minorHAnsi"/>
        </w:rPr>
        <w:t>overcome</w:t>
      </w:r>
      <w:proofErr w:type="spellEnd"/>
      <w:r w:rsidRPr="00CE68EA">
        <w:rPr>
          <w:rFonts w:cstheme="minorHAnsi"/>
        </w:rPr>
        <w:t xml:space="preserve"> </w:t>
      </w:r>
      <w:proofErr w:type="spellStart"/>
      <w:r w:rsidRPr="00CE68EA">
        <w:rPr>
          <w:rFonts w:cstheme="minorHAnsi"/>
        </w:rPr>
        <w:t>towards</w:t>
      </w:r>
      <w:proofErr w:type="spellEnd"/>
      <w:r w:rsidRPr="00CE68EA">
        <w:rPr>
          <w:rFonts w:cstheme="minorHAnsi"/>
        </w:rPr>
        <w:t xml:space="preserve"> </w:t>
      </w:r>
      <w:proofErr w:type="spellStart"/>
      <w:r w:rsidRPr="00CE68EA">
        <w:rPr>
          <w:rFonts w:cstheme="minorHAnsi"/>
        </w:rPr>
        <w:t>better</w:t>
      </w:r>
      <w:proofErr w:type="spellEnd"/>
      <w:r w:rsidRPr="00CE68EA">
        <w:rPr>
          <w:rFonts w:cstheme="minorHAnsi"/>
        </w:rPr>
        <w:t xml:space="preserve"> </w:t>
      </w:r>
      <w:proofErr w:type="spellStart"/>
      <w:r w:rsidRPr="00CE68EA">
        <w:rPr>
          <w:rFonts w:cstheme="minorHAnsi"/>
        </w:rPr>
        <w:t>social</w:t>
      </w:r>
      <w:proofErr w:type="spellEnd"/>
      <w:r w:rsidRPr="00CE68EA">
        <w:rPr>
          <w:rFonts w:cstheme="minorHAnsi"/>
        </w:rPr>
        <w:t xml:space="preserve"> </w:t>
      </w:r>
      <w:proofErr w:type="spellStart"/>
      <w:r w:rsidRPr="00CE68EA">
        <w:rPr>
          <w:rFonts w:cstheme="minorHAnsi"/>
        </w:rPr>
        <w:t>inclusion</w:t>
      </w:r>
      <w:proofErr w:type="spellEnd"/>
      <w:r w:rsidRPr="00CE68EA">
        <w:rPr>
          <w:rFonts w:cstheme="minorHAnsi"/>
        </w:rPr>
        <w:t xml:space="preserve">, INO INCLUSION” (Inovatīvas </w:t>
      </w:r>
      <w:proofErr w:type="spellStart"/>
      <w:r w:rsidRPr="00CE68EA">
        <w:rPr>
          <w:rFonts w:cstheme="minorHAnsi"/>
        </w:rPr>
        <w:t>psihosociālās</w:t>
      </w:r>
      <w:proofErr w:type="spellEnd"/>
      <w:r w:rsidRPr="00CE68EA">
        <w:rPr>
          <w:rFonts w:cstheme="minorHAnsi"/>
        </w:rPr>
        <w:t xml:space="preserve"> un fiziskās rehabilitācijas metodes stresa mazināšanai, sociāli neaizsargāto personu grupu iekļaušanai sabiedrībā, INO INCLUSION) Nr. LL-00120. Ar  Vides aizsardzības un reģionālās attīstības ministriju ir noslēgts Subsīdiju līgums par ERAF finansējuma piešķiršanu 80 % apmērā – 373 449,65 EUR. Kopējais projekta budžets 466 812,09 EUR., tai skaitā Slimnīcas projekta daļa 108 007,11 EUR. Projekta realizēšanas laiks ir 24 mēneši – 01.02.2024.-31.01.2026. </w:t>
      </w:r>
    </w:p>
    <w:p w14:paraId="3A97EC27" w14:textId="77777777" w:rsidR="00273F7A" w:rsidRPr="00CE68EA" w:rsidRDefault="00273F7A" w:rsidP="00273F7A">
      <w:pPr>
        <w:rPr>
          <w:rFonts w:cstheme="minorHAnsi"/>
        </w:rPr>
      </w:pPr>
      <w:r w:rsidRPr="00CE68EA">
        <w:rPr>
          <w:rFonts w:cstheme="minorHAnsi"/>
        </w:rPr>
        <w:t xml:space="preserve">Projekts paredz izveidot inovatīvu infrastruktūru, integrētu </w:t>
      </w:r>
      <w:proofErr w:type="spellStart"/>
      <w:r w:rsidRPr="00CE68EA">
        <w:rPr>
          <w:rFonts w:cstheme="minorHAnsi"/>
        </w:rPr>
        <w:t>psihosociālās</w:t>
      </w:r>
      <w:proofErr w:type="spellEnd"/>
      <w:r w:rsidRPr="00CE68EA">
        <w:rPr>
          <w:rFonts w:cstheme="minorHAnsi"/>
        </w:rPr>
        <w:t xml:space="preserve"> un fiziskās rehabilitācijas pasākumu veikšanai un </w:t>
      </w:r>
      <w:proofErr w:type="spellStart"/>
      <w:r w:rsidRPr="00CE68EA">
        <w:rPr>
          <w:rFonts w:cstheme="minorHAnsi"/>
        </w:rPr>
        <w:t>paraugprakses</w:t>
      </w:r>
      <w:proofErr w:type="spellEnd"/>
      <w:r w:rsidRPr="00CE68EA">
        <w:rPr>
          <w:rFonts w:cstheme="minorHAnsi"/>
        </w:rPr>
        <w:t xml:space="preserve"> izplatīšanai un apmaiņai starp projekta partneriem. Projekta rezultātā Piejūras slimnīcā tiks izveidotas divas Runas un komunikācijas terapijas telpas, tai skaitā interaktīva telpa bērniem ar </w:t>
      </w:r>
      <w:proofErr w:type="spellStart"/>
      <w:r w:rsidRPr="00CE68EA">
        <w:rPr>
          <w:rFonts w:cstheme="minorHAnsi"/>
        </w:rPr>
        <w:t>autismu</w:t>
      </w:r>
      <w:proofErr w:type="spellEnd"/>
      <w:r w:rsidRPr="00CE68EA">
        <w:rPr>
          <w:rFonts w:cstheme="minorHAnsi"/>
        </w:rPr>
        <w:t xml:space="preserve"> un citām neiroloģiskām saslimšanām un stresa mazināšanas telpa bērnu vecākiem, pacientiem un slimnīcas personālam. Projekta ietvaros paredzēts arī veikt personāla apmācību veiksmīgai Runas un komunikācijas terapijas ieviešanai. </w:t>
      </w:r>
    </w:p>
    <w:p w14:paraId="714B5AF9" w14:textId="77777777" w:rsidR="00273F7A" w:rsidRPr="00CE68EA" w:rsidRDefault="00273F7A" w:rsidP="00273F7A">
      <w:pPr>
        <w:rPr>
          <w:rFonts w:cstheme="minorHAnsi"/>
        </w:rPr>
      </w:pPr>
      <w:r w:rsidRPr="00CE68EA">
        <w:rPr>
          <w:rFonts w:cstheme="minorHAnsi"/>
        </w:rPr>
        <w:t>Slimnīca kā vadošais partneris projektu realizē sadarbībā ar partneriem no Lietuvas – Klaipēdas slimnīcas rehabilitācijas centrs „</w:t>
      </w:r>
      <w:proofErr w:type="spellStart"/>
      <w:r w:rsidRPr="00CE68EA">
        <w:rPr>
          <w:rFonts w:cstheme="minorHAnsi"/>
        </w:rPr>
        <w:t>Pusynas</w:t>
      </w:r>
      <w:proofErr w:type="spellEnd"/>
      <w:r w:rsidRPr="00CE68EA">
        <w:rPr>
          <w:rFonts w:cstheme="minorHAnsi"/>
        </w:rPr>
        <w:t xml:space="preserve">” (Palanga) un Sv. </w:t>
      </w:r>
      <w:proofErr w:type="spellStart"/>
      <w:r w:rsidRPr="00CE68EA">
        <w:rPr>
          <w:rFonts w:cstheme="minorHAnsi"/>
        </w:rPr>
        <w:t>Asīzes</w:t>
      </w:r>
      <w:proofErr w:type="spellEnd"/>
      <w:r w:rsidRPr="00CE68EA">
        <w:rPr>
          <w:rFonts w:cstheme="minorHAnsi"/>
        </w:rPr>
        <w:t xml:space="preserve"> Franciska klosteris (Klaipēda). </w:t>
      </w:r>
    </w:p>
    <w:p w14:paraId="72EDF53F" w14:textId="77777777" w:rsidR="00273F7A" w:rsidRPr="00CE68EA" w:rsidRDefault="00273F7A" w:rsidP="00273F7A">
      <w:pPr>
        <w:rPr>
          <w:rFonts w:cstheme="minorHAnsi"/>
        </w:rPr>
      </w:pPr>
      <w:r w:rsidRPr="00CE68EA">
        <w:rPr>
          <w:rFonts w:cstheme="minorHAnsi"/>
        </w:rPr>
        <w:t xml:space="preserve">Projekta ieviešanai Slimnīca ir veikusi divu terapiju telpu remontdarbus un aprīkošanu ar mēbelēm, ir organizēts 2 dienu apmācību kurss – seminārs “Stresa fizioloģija un </w:t>
      </w:r>
      <w:proofErr w:type="spellStart"/>
      <w:r w:rsidRPr="00CE68EA">
        <w:rPr>
          <w:rFonts w:cstheme="minorHAnsi"/>
        </w:rPr>
        <w:t>neirobioloģiski</w:t>
      </w:r>
      <w:proofErr w:type="spellEnd"/>
      <w:r w:rsidRPr="00CE68EA">
        <w:rPr>
          <w:rFonts w:cstheme="minorHAnsi"/>
        </w:rPr>
        <w:t xml:space="preserve"> pamatotas stresa pārvaldīšanas metodes” personālam (apmeklēja vairāk kā 45 darbinieki). Pārskata periodā </w:t>
      </w:r>
      <w:r w:rsidRPr="00CE68EA">
        <w:rPr>
          <w:rFonts w:cstheme="minorHAnsi"/>
        </w:rPr>
        <w:lastRenderedPageBreak/>
        <w:t xml:space="preserve">Slimnīca ir turpinājusi ieviest projekta aktivitātes. Ir uzsākta publiska iepirkuma procedūra, kuras rezultātā tiks iegādāts terapiju telpu aprīkojums – </w:t>
      </w:r>
      <w:proofErr w:type="spellStart"/>
      <w:r w:rsidRPr="00CE68EA">
        <w:rPr>
          <w:rFonts w:cstheme="minorHAnsi"/>
        </w:rPr>
        <w:t>sensorās</w:t>
      </w:r>
      <w:proofErr w:type="spellEnd"/>
      <w:r w:rsidRPr="00CE68EA">
        <w:rPr>
          <w:rFonts w:cstheme="minorHAnsi"/>
        </w:rPr>
        <w:t xml:space="preserve"> iekārtas. </w:t>
      </w:r>
    </w:p>
    <w:p w14:paraId="746B4C26" w14:textId="77777777" w:rsidR="00C912BF" w:rsidRPr="00CE68EA" w:rsidRDefault="00C912BF" w:rsidP="00B1399D">
      <w:pPr>
        <w:pStyle w:val="Virsraksts2"/>
        <w:rPr>
          <w:rFonts w:cstheme="minorHAnsi"/>
        </w:rPr>
      </w:pPr>
      <w:r w:rsidRPr="00CE68EA">
        <w:rPr>
          <w:rFonts w:cstheme="minorHAnsi"/>
        </w:rPr>
        <w:t>SPEED UP</w:t>
      </w:r>
    </w:p>
    <w:p w14:paraId="28B2EA41" w14:textId="77777777" w:rsidR="00273F7A" w:rsidRPr="00CE68EA" w:rsidRDefault="00273F7A" w:rsidP="00273F7A">
      <w:pPr>
        <w:rPr>
          <w:rFonts w:cstheme="minorHAnsi"/>
        </w:rPr>
      </w:pPr>
      <w:r w:rsidRPr="00CE68EA">
        <w:rPr>
          <w:rFonts w:cstheme="minorHAnsi"/>
        </w:rPr>
        <w:t xml:space="preserve">2024.gada decembrī Slimnīca ir saņēmusi Viedās administrācijas un reģionālās attīstības ministrijas, kā </w:t>
      </w:r>
      <w:proofErr w:type="spellStart"/>
      <w:r w:rsidRPr="00CE68EA">
        <w:rPr>
          <w:rFonts w:cstheme="minorHAnsi"/>
        </w:rPr>
        <w:t>Interreg</w:t>
      </w:r>
      <w:proofErr w:type="spellEnd"/>
      <w:r w:rsidRPr="00CE68EA">
        <w:rPr>
          <w:rFonts w:cstheme="minorHAnsi"/>
        </w:rPr>
        <w:t xml:space="preserve"> Latvijas – Lietuvas pārrobežu sadarbības programmas 2021. – 2027. gadam vadošās iestādes, lēmumu Nr. 5-13/7325 par finansējuma piešķiršanu projekta Nr. LL-00270 “</w:t>
      </w:r>
      <w:proofErr w:type="spellStart"/>
      <w:r w:rsidRPr="00CE68EA">
        <w:rPr>
          <w:rFonts w:cstheme="minorHAnsi"/>
        </w:rPr>
        <w:t>Speed</w:t>
      </w:r>
      <w:proofErr w:type="spellEnd"/>
      <w:r w:rsidRPr="00CE68EA">
        <w:rPr>
          <w:rFonts w:cstheme="minorHAnsi"/>
        </w:rPr>
        <w:t xml:space="preserve"> </w:t>
      </w:r>
      <w:proofErr w:type="spellStart"/>
      <w:r w:rsidRPr="00CE68EA">
        <w:rPr>
          <w:rFonts w:cstheme="minorHAnsi"/>
        </w:rPr>
        <w:t>up</w:t>
      </w:r>
      <w:proofErr w:type="spellEnd"/>
      <w:r w:rsidRPr="00CE68EA">
        <w:rPr>
          <w:rFonts w:cstheme="minorHAnsi"/>
        </w:rPr>
        <w:t xml:space="preserve"> </w:t>
      </w:r>
      <w:proofErr w:type="spellStart"/>
      <w:r w:rsidRPr="00CE68EA">
        <w:rPr>
          <w:rFonts w:cstheme="minorHAnsi"/>
        </w:rPr>
        <w:t>the</w:t>
      </w:r>
      <w:proofErr w:type="spellEnd"/>
      <w:r w:rsidRPr="00CE68EA">
        <w:rPr>
          <w:rFonts w:cstheme="minorHAnsi"/>
        </w:rPr>
        <w:t xml:space="preserve"> </w:t>
      </w:r>
      <w:proofErr w:type="spellStart"/>
      <w:r w:rsidRPr="00CE68EA">
        <w:rPr>
          <w:rFonts w:cstheme="minorHAnsi"/>
        </w:rPr>
        <w:t>rehabilitation</w:t>
      </w:r>
      <w:proofErr w:type="spellEnd"/>
      <w:r w:rsidRPr="00CE68EA">
        <w:rPr>
          <w:rFonts w:cstheme="minorHAnsi"/>
        </w:rPr>
        <w:t xml:space="preserve"> </w:t>
      </w:r>
      <w:proofErr w:type="spellStart"/>
      <w:r w:rsidRPr="00CE68EA">
        <w:rPr>
          <w:rFonts w:cstheme="minorHAnsi"/>
        </w:rPr>
        <w:t>through</w:t>
      </w:r>
      <w:proofErr w:type="spellEnd"/>
      <w:r w:rsidRPr="00CE68EA">
        <w:rPr>
          <w:rFonts w:cstheme="minorHAnsi"/>
        </w:rPr>
        <w:t xml:space="preserve"> </w:t>
      </w:r>
      <w:proofErr w:type="spellStart"/>
      <w:r w:rsidRPr="00CE68EA">
        <w:rPr>
          <w:rFonts w:cstheme="minorHAnsi"/>
        </w:rPr>
        <w:t>digitalization</w:t>
      </w:r>
      <w:proofErr w:type="spellEnd"/>
      <w:r w:rsidRPr="00CE68EA">
        <w:rPr>
          <w:rFonts w:cstheme="minorHAnsi"/>
        </w:rPr>
        <w:t xml:space="preserve"> </w:t>
      </w:r>
      <w:proofErr w:type="spellStart"/>
      <w:r w:rsidRPr="00CE68EA">
        <w:rPr>
          <w:rFonts w:cstheme="minorHAnsi"/>
        </w:rPr>
        <w:t>as</w:t>
      </w:r>
      <w:proofErr w:type="spellEnd"/>
      <w:r w:rsidRPr="00CE68EA">
        <w:rPr>
          <w:rFonts w:cstheme="minorHAnsi"/>
        </w:rPr>
        <w:t xml:space="preserve"> a </w:t>
      </w:r>
      <w:proofErr w:type="spellStart"/>
      <w:r w:rsidRPr="00CE68EA">
        <w:rPr>
          <w:rFonts w:cstheme="minorHAnsi"/>
        </w:rPr>
        <w:t>mean</w:t>
      </w:r>
      <w:proofErr w:type="spellEnd"/>
      <w:r w:rsidRPr="00CE68EA">
        <w:rPr>
          <w:rFonts w:cstheme="minorHAnsi"/>
        </w:rPr>
        <w:t xml:space="preserve"> </w:t>
      </w:r>
      <w:proofErr w:type="spellStart"/>
      <w:r w:rsidRPr="00CE68EA">
        <w:rPr>
          <w:rFonts w:cstheme="minorHAnsi"/>
        </w:rPr>
        <w:t>of</w:t>
      </w:r>
      <w:proofErr w:type="spellEnd"/>
      <w:r w:rsidRPr="00CE68EA">
        <w:rPr>
          <w:rFonts w:cstheme="minorHAnsi"/>
        </w:rPr>
        <w:t xml:space="preserve"> </w:t>
      </w:r>
      <w:proofErr w:type="spellStart"/>
      <w:r w:rsidRPr="00CE68EA">
        <w:rPr>
          <w:rFonts w:cstheme="minorHAnsi"/>
        </w:rPr>
        <w:t>social</w:t>
      </w:r>
      <w:proofErr w:type="spellEnd"/>
      <w:r w:rsidRPr="00CE68EA">
        <w:rPr>
          <w:rFonts w:cstheme="minorHAnsi"/>
        </w:rPr>
        <w:t xml:space="preserve"> </w:t>
      </w:r>
      <w:proofErr w:type="spellStart"/>
      <w:r w:rsidRPr="00CE68EA">
        <w:rPr>
          <w:rFonts w:cstheme="minorHAnsi"/>
        </w:rPr>
        <w:t>inclussion</w:t>
      </w:r>
      <w:proofErr w:type="spellEnd"/>
      <w:r w:rsidRPr="00CE68EA">
        <w:rPr>
          <w:rFonts w:cstheme="minorHAnsi"/>
        </w:rPr>
        <w:t xml:space="preserve">” SPEED UP (“Paātrināt rehabilitāciju, izmantojot </w:t>
      </w:r>
      <w:proofErr w:type="spellStart"/>
      <w:r w:rsidRPr="00CE68EA">
        <w:rPr>
          <w:rFonts w:cstheme="minorHAnsi"/>
        </w:rPr>
        <w:t>digitalizāciju</w:t>
      </w:r>
      <w:proofErr w:type="spellEnd"/>
      <w:r w:rsidRPr="00CE68EA">
        <w:rPr>
          <w:rFonts w:cstheme="minorHAnsi"/>
        </w:rPr>
        <w:t xml:space="preserve"> kā līdzekli sociālās iekļaušanās veicināšanai” SPEED UP) ieviešanai. Pārskata periodā ir izpildīti projekta apstiprināšanas nosacījumi un uzsākts projekta līgumu noslēgšanas process.</w:t>
      </w:r>
    </w:p>
    <w:p w14:paraId="72D18658" w14:textId="77777777" w:rsidR="00273F7A" w:rsidRPr="00CE68EA" w:rsidRDefault="00273F7A" w:rsidP="00273F7A">
      <w:pPr>
        <w:rPr>
          <w:rFonts w:cstheme="minorHAnsi"/>
        </w:rPr>
      </w:pPr>
      <w:r w:rsidRPr="00CE68EA">
        <w:rPr>
          <w:rFonts w:cstheme="minorHAnsi"/>
        </w:rPr>
        <w:t xml:space="preserve">SPEED UP projekts paredz izveidot inovatīvu infrastruktūru un radīt inovatīvu digitālās veselības risinājumu, kas paātrinātu neaizsargāto grupu atgriešanos sabiedrībā. Projekta rezultātā Piejūras slimnīcā tiks labiekārtotas telpas rehabilitācijas veikšanai. Būtiskākās paredzamās rehabilitācijas metodes – virtuālās realitātes rehabilitācijas telpa ar NIRVANA III rīku, kognitīvās un </w:t>
      </w:r>
      <w:proofErr w:type="spellStart"/>
      <w:r w:rsidRPr="00CE68EA">
        <w:rPr>
          <w:rFonts w:cstheme="minorHAnsi"/>
        </w:rPr>
        <w:t>motorās</w:t>
      </w:r>
      <w:proofErr w:type="spellEnd"/>
      <w:r w:rsidRPr="00CE68EA">
        <w:rPr>
          <w:rFonts w:cstheme="minorHAnsi"/>
        </w:rPr>
        <w:t xml:space="preserve"> rehabilitācijas rīks </w:t>
      </w:r>
      <w:proofErr w:type="spellStart"/>
      <w:r w:rsidRPr="00CE68EA">
        <w:rPr>
          <w:rFonts w:cstheme="minorHAnsi"/>
        </w:rPr>
        <w:t>RehaCom</w:t>
      </w:r>
      <w:proofErr w:type="spellEnd"/>
      <w:r w:rsidRPr="00CE68EA">
        <w:rPr>
          <w:rFonts w:cstheme="minorHAnsi"/>
        </w:rPr>
        <w:t xml:space="preserve">, aprīkotas fizioterapijas un procedūru telpas. Projekta ietvaros paredzēts arī veikt personāla un pacientu apmācību un praktisko nodarbību ciklu. </w:t>
      </w:r>
    </w:p>
    <w:p w14:paraId="6B1BC9CA" w14:textId="77777777" w:rsidR="00273F7A" w:rsidRPr="00CE68EA" w:rsidRDefault="00273F7A" w:rsidP="00273F7A">
      <w:pPr>
        <w:rPr>
          <w:rFonts w:cstheme="minorHAnsi"/>
        </w:rPr>
      </w:pPr>
      <w:r w:rsidRPr="00CE68EA">
        <w:rPr>
          <w:rFonts w:cstheme="minorHAnsi"/>
        </w:rPr>
        <w:t>Projektu paredzēts realizēts sadarbojoties ar projekta partneriem no Lietuvas – Klaipēdas slimnīcas rehabilitācijas centrs „</w:t>
      </w:r>
      <w:proofErr w:type="spellStart"/>
      <w:r w:rsidRPr="00CE68EA">
        <w:rPr>
          <w:rFonts w:cstheme="minorHAnsi"/>
        </w:rPr>
        <w:t>Pusynas</w:t>
      </w:r>
      <w:proofErr w:type="spellEnd"/>
      <w:r w:rsidRPr="00CE68EA">
        <w:rPr>
          <w:rFonts w:cstheme="minorHAnsi"/>
        </w:rPr>
        <w:t>” (Palanga) – vadošais partneris un Nevalstisko organizāciju "</w:t>
      </w:r>
      <w:proofErr w:type="spellStart"/>
      <w:r w:rsidRPr="00CE68EA">
        <w:rPr>
          <w:rFonts w:cstheme="minorHAnsi"/>
        </w:rPr>
        <w:t>Švietimo</w:t>
      </w:r>
      <w:proofErr w:type="spellEnd"/>
      <w:r w:rsidRPr="00CE68EA">
        <w:rPr>
          <w:rFonts w:cstheme="minorHAnsi"/>
        </w:rPr>
        <w:t xml:space="preserve">, </w:t>
      </w:r>
      <w:proofErr w:type="spellStart"/>
      <w:r w:rsidRPr="00CE68EA">
        <w:rPr>
          <w:rFonts w:cstheme="minorHAnsi"/>
        </w:rPr>
        <w:t>sveikatos</w:t>
      </w:r>
      <w:proofErr w:type="spellEnd"/>
      <w:r w:rsidRPr="00CE68EA">
        <w:rPr>
          <w:rFonts w:cstheme="minorHAnsi"/>
        </w:rPr>
        <w:t xml:space="preserve"> ir </w:t>
      </w:r>
      <w:proofErr w:type="spellStart"/>
      <w:r w:rsidRPr="00CE68EA">
        <w:rPr>
          <w:rFonts w:cstheme="minorHAnsi"/>
        </w:rPr>
        <w:t>socialinių</w:t>
      </w:r>
      <w:proofErr w:type="spellEnd"/>
      <w:r w:rsidRPr="00CE68EA">
        <w:rPr>
          <w:rFonts w:cstheme="minorHAnsi"/>
        </w:rPr>
        <w:t xml:space="preserve"> </w:t>
      </w:r>
      <w:proofErr w:type="spellStart"/>
      <w:r w:rsidRPr="00CE68EA">
        <w:rPr>
          <w:rFonts w:cstheme="minorHAnsi"/>
        </w:rPr>
        <w:t>inovacijos</w:t>
      </w:r>
      <w:proofErr w:type="spellEnd"/>
      <w:r w:rsidRPr="00CE68EA">
        <w:rPr>
          <w:rFonts w:cstheme="minorHAnsi"/>
        </w:rPr>
        <w:t xml:space="preserve"> </w:t>
      </w:r>
      <w:proofErr w:type="spellStart"/>
      <w:r w:rsidRPr="00CE68EA">
        <w:rPr>
          <w:rFonts w:cstheme="minorHAnsi"/>
        </w:rPr>
        <w:t>centras</w:t>
      </w:r>
      <w:proofErr w:type="spellEnd"/>
      <w:r w:rsidRPr="00CE68EA">
        <w:rPr>
          <w:rFonts w:cstheme="minorHAnsi"/>
        </w:rPr>
        <w:t>" (Klaipēdas rajonā).</w:t>
      </w:r>
    </w:p>
    <w:p w14:paraId="241932E9" w14:textId="77777777" w:rsidR="00273F7A" w:rsidRPr="00CE68EA" w:rsidRDefault="00273F7A" w:rsidP="00273F7A">
      <w:pPr>
        <w:rPr>
          <w:rFonts w:cstheme="minorHAnsi"/>
        </w:rPr>
      </w:pPr>
      <w:r w:rsidRPr="00CE68EA">
        <w:rPr>
          <w:rFonts w:cstheme="minorHAnsi"/>
        </w:rPr>
        <w:t xml:space="preserve">VSIA “Piejūras slimnīca” projekta budžets paredzēts 204 048,65 EUR, no kura plānotais ERAF finansējums 80 % apmērā – 163 238,92 EUR. </w:t>
      </w:r>
    </w:p>
    <w:p w14:paraId="4B611163" w14:textId="0AAC48F3" w:rsidR="00C912BF" w:rsidRPr="00CE68EA" w:rsidRDefault="00C912BF" w:rsidP="00B1399D">
      <w:pPr>
        <w:pStyle w:val="Virsraksts2"/>
        <w:rPr>
          <w:rFonts w:cstheme="minorHAnsi"/>
        </w:rPr>
      </w:pPr>
      <w:r w:rsidRPr="00CE68EA">
        <w:rPr>
          <w:rFonts w:cstheme="minorHAnsi"/>
        </w:rPr>
        <w:t xml:space="preserve">dienas stacionāra </w:t>
      </w:r>
      <w:r w:rsidR="003D2257" w:rsidRPr="00CE68EA">
        <w:rPr>
          <w:rFonts w:cstheme="minorHAnsi"/>
        </w:rPr>
        <w:t>attīstība</w:t>
      </w:r>
    </w:p>
    <w:p w14:paraId="28733E97" w14:textId="77777777" w:rsidR="00273F7A" w:rsidRPr="00CE68EA" w:rsidRDefault="00273F7A" w:rsidP="00273F7A">
      <w:pPr>
        <w:rPr>
          <w:rFonts w:cstheme="minorHAnsi"/>
        </w:rPr>
      </w:pPr>
      <w:r w:rsidRPr="00CE68EA">
        <w:rPr>
          <w:rFonts w:cstheme="minorHAnsi"/>
        </w:rPr>
        <w:t xml:space="preserve">2024.gada decembrī sadarbībā ar VSIA “Nacionālais psihiskās veselības centrs” ir iesniegts projekta pieteikums finansējuma piesaistei Eiropas Savienības Kohēzijas politikas programmas 2021.-2027.gadam 4.1.1. specifiskā atbalsta mērķa “Nodrošināt vienlīdzīgu piekļuvi veselības aprūpei un stiprināt veselības sistēmu, tostarp primārās veselības aprūpes noturību” 4.1.1.1. pasākuma “Ārstniecības iestāžu infrastruktūras attīstība” trešās kārtas ietvaros. Pārskata periodā ir saņemts Centrālās finanšu un līgumu aģentūras atzinums Nr. 39-2-10/1693, par projekta apstiprināšanu un nosacījumu izpildi. </w:t>
      </w:r>
    </w:p>
    <w:p w14:paraId="6834E365" w14:textId="77777777" w:rsidR="00273F7A" w:rsidRPr="00CE68EA" w:rsidRDefault="00273F7A" w:rsidP="00273F7A">
      <w:pPr>
        <w:rPr>
          <w:rFonts w:cstheme="minorHAnsi"/>
        </w:rPr>
      </w:pPr>
      <w:r w:rsidRPr="00CE68EA">
        <w:rPr>
          <w:rFonts w:cstheme="minorHAnsi"/>
        </w:rPr>
        <w:t>Projekta pieteikums paredz investīcijas telpu infrastruktūras attīstībai Psihiatriskās ārstniecības un rehabilitācijas pakalpojumu sniegšanai dienas stacionāra ietvaros. Slimnīca ir uzsākusi izvērtēt esošo ēku infrastruktūru un neizmantoto telpu iespējas. 2025.gada 3.ceturksnī tiks veikta iepirkuma procedūra tehniskās dokumentācijas izstrādei.</w:t>
      </w:r>
    </w:p>
    <w:p w14:paraId="500490E7" w14:textId="5923D36C" w:rsidR="00273F7A" w:rsidRPr="00CE68EA" w:rsidRDefault="00273F7A" w:rsidP="00273F7A">
      <w:pPr>
        <w:rPr>
          <w:rFonts w:cstheme="minorHAnsi"/>
        </w:rPr>
      </w:pPr>
      <w:r w:rsidRPr="00CE68EA">
        <w:rPr>
          <w:rFonts w:cstheme="minorHAnsi"/>
        </w:rPr>
        <w:t xml:space="preserve">VSIA “Piejūras slimnīca” plānotais projekta budžets ir 340 106,00 EUR, no kura ERAF finansējums 85 % apmērā – 289 090,10 EUR, valsts budžeta finansējums </w:t>
      </w:r>
      <w:r w:rsidR="00E1598C" w:rsidRPr="00CE68EA">
        <w:rPr>
          <w:rFonts w:cstheme="minorHAnsi"/>
        </w:rPr>
        <w:t>–</w:t>
      </w:r>
      <w:r w:rsidRPr="00CE68EA">
        <w:rPr>
          <w:rFonts w:cstheme="minorHAnsi"/>
        </w:rPr>
        <w:t xml:space="preserve"> 51</w:t>
      </w:r>
      <w:r w:rsidR="00E1598C" w:rsidRPr="00CE68EA">
        <w:rPr>
          <w:rFonts w:cstheme="minorHAnsi"/>
        </w:rPr>
        <w:t> </w:t>
      </w:r>
      <w:r w:rsidRPr="00CE68EA">
        <w:rPr>
          <w:rFonts w:cstheme="minorHAnsi"/>
        </w:rPr>
        <w:t>015,90 EUR.</w:t>
      </w:r>
    </w:p>
    <w:p w14:paraId="5A37C762" w14:textId="77777777" w:rsidR="00273F7A" w:rsidRPr="00CE68EA" w:rsidRDefault="00273F7A" w:rsidP="00273F7A">
      <w:pPr>
        <w:rPr>
          <w:rFonts w:cstheme="minorHAnsi"/>
        </w:rPr>
      </w:pPr>
      <w:r w:rsidRPr="00CE68EA">
        <w:rPr>
          <w:rFonts w:cstheme="minorHAnsi"/>
        </w:rPr>
        <w:lastRenderedPageBreak/>
        <w:t>Plānots realizēt projekta būvniecības aktivitātes 2026.- 2027.gadā.</w:t>
      </w:r>
    </w:p>
    <w:p w14:paraId="18F1B142" w14:textId="0E773965" w:rsidR="00C912BF" w:rsidRPr="00CE68EA" w:rsidRDefault="00C912BF" w:rsidP="00B1399D">
      <w:pPr>
        <w:pStyle w:val="Virsraksts2"/>
        <w:rPr>
          <w:rFonts w:cstheme="minorHAnsi"/>
        </w:rPr>
      </w:pPr>
      <w:r w:rsidRPr="00CE68EA">
        <w:rPr>
          <w:rFonts w:cstheme="minorHAnsi"/>
        </w:rPr>
        <w:t>Pusaudžu narkoloģiskās Motivācijas programmas ieviešana</w:t>
      </w:r>
    </w:p>
    <w:p w14:paraId="72DA0DB4" w14:textId="77777777" w:rsidR="00273F7A" w:rsidRPr="00CE68EA" w:rsidRDefault="00273F7A" w:rsidP="00273F7A">
      <w:pPr>
        <w:rPr>
          <w:rFonts w:cstheme="minorHAnsi"/>
        </w:rPr>
      </w:pPr>
      <w:r w:rsidRPr="00CE68EA">
        <w:rPr>
          <w:rFonts w:cstheme="minorHAnsi"/>
        </w:rPr>
        <w:t xml:space="preserve">2024.gadā pēc Veselības ministrijas aicinājuma ir izvērtēta telpu infrastruktūra un nepieciešamās investīcijas, lai būtu iespējams slimnīcā attīstīt jaunu pakalpojumu - Pusaudžu narkoloģiskās Motivācijas programmu. Pamatojoties uz iespējām un izdevumu aprēķiniem VSIA “Piejūras slimnīca” ir iekļauta finansējuma saņēmēju sarakstā Eiropas Savienības Atveseļošanās un noturības mehānisma plāna investīciju 4.1.1.2.i. “Atbalsts universitātes un reģionālo slimnīcu veselības aprūpes infrastruktūras stiprināšanai, lai nodrošinātu visaptverošu ilgtspējīgu integrētu veselības pakalpojumu, mazinātu infekciju slimību izplatību, epidemioloģisko prasību nodrošināšanā” (Grozījumi Ministru kabineta 2022.gada 19.aprīļa noteikumos Nr. 254). </w:t>
      </w:r>
    </w:p>
    <w:p w14:paraId="324C9872" w14:textId="77777777" w:rsidR="00273F7A" w:rsidRPr="00CE68EA" w:rsidRDefault="00273F7A" w:rsidP="00273F7A">
      <w:pPr>
        <w:pStyle w:val="Paraststmeklis"/>
        <w:spacing w:before="0" w:beforeAutospacing="0" w:after="80" w:afterAutospacing="0" w:line="276" w:lineRule="auto"/>
        <w:jc w:val="both"/>
        <w:rPr>
          <w:rFonts w:asciiTheme="minorHAnsi" w:hAnsiTheme="minorHAnsi" w:cstheme="minorHAnsi"/>
          <w:color w:val="000000"/>
        </w:rPr>
      </w:pPr>
      <w:r w:rsidRPr="00CE68EA">
        <w:rPr>
          <w:rFonts w:asciiTheme="minorHAnsi" w:hAnsiTheme="minorHAnsi" w:cstheme="minorHAnsi"/>
          <w:color w:val="000000"/>
        </w:rPr>
        <w:t>Slimnīca 2025.gada 28.februārī Kohēzijas politikas fondu vadības informācijas sistēmā  iesniedza projekta iesniegumu “Ārstniecības ēkas Jūrmalas ielā 2, Liepājā (kadastra apzīmējums 1700 040 0213 031) infrastruktūras attīstība”. 2025.gada 21.martā Slimnīca saņēma Veselības ministrijas vēstuli Nr. 01-10.3-02/1476 par projekta iesnieguma vērtējumu, atbilstoši kuram ir saņemts vērtējums “atbilst” un Slimnīca ir novērsusi tehniskās neprecizitātes un projekts ir apstiprināts.</w:t>
      </w:r>
    </w:p>
    <w:p w14:paraId="3F81102D" w14:textId="77777777" w:rsidR="00273F7A" w:rsidRPr="00CE68EA" w:rsidRDefault="00273F7A" w:rsidP="00273F7A">
      <w:pPr>
        <w:pStyle w:val="Paraststmeklis"/>
        <w:spacing w:before="0" w:beforeAutospacing="0" w:after="80" w:afterAutospacing="0" w:line="276" w:lineRule="auto"/>
        <w:jc w:val="both"/>
        <w:rPr>
          <w:rFonts w:asciiTheme="minorHAnsi" w:hAnsiTheme="minorHAnsi" w:cstheme="minorHAnsi"/>
          <w:color w:val="000000"/>
        </w:rPr>
      </w:pPr>
      <w:r w:rsidRPr="00CE68EA">
        <w:rPr>
          <w:rFonts w:asciiTheme="minorHAnsi" w:hAnsiTheme="minorHAnsi" w:cstheme="minorHAnsi"/>
          <w:color w:val="000000"/>
        </w:rPr>
        <w:t xml:space="preserve">Pamatojoties uz Atveseļošanas fonda projekta 4.1.1.2.i. investīciju noteikumu nosacījumiem, projekti realizējami līdz 2026.gada 3.ceturksnim. Projekta “Ārstniecības ēkas Jūrmalas ielā 2, Liepājā (kadastra apzīmējums 1700 040 0213 031) infrastruktūras attīstība” ietvaros paredzēts veikt būvprojekta izstrāde un būvniecība. Lai Slimnīca spētu realizēt investīciju projektu noteiktajos termiņos, nepieciešama nekavējoša un intensīva darbība projekta virzībai un ieviešanai. </w:t>
      </w:r>
    </w:p>
    <w:p w14:paraId="5556621E" w14:textId="77777777" w:rsidR="00273F7A" w:rsidRPr="00CE68EA" w:rsidRDefault="00273F7A" w:rsidP="00273F7A">
      <w:pPr>
        <w:pStyle w:val="Paraststmeklis"/>
        <w:spacing w:before="0" w:beforeAutospacing="0" w:after="80" w:afterAutospacing="0" w:line="276" w:lineRule="auto"/>
        <w:jc w:val="both"/>
        <w:rPr>
          <w:rFonts w:asciiTheme="minorHAnsi" w:hAnsiTheme="minorHAnsi" w:cstheme="minorHAnsi"/>
          <w:color w:val="000000"/>
        </w:rPr>
      </w:pPr>
      <w:r w:rsidRPr="00CE68EA">
        <w:rPr>
          <w:rFonts w:asciiTheme="minorHAnsi" w:hAnsiTheme="minorHAnsi" w:cstheme="minorHAnsi"/>
          <w:color w:val="000000"/>
        </w:rPr>
        <w:t xml:space="preserve">Paralēli projekta iesniegumam Slimnīca ir izvērtējusi veicamo darbu apjomu, sagatavojusi tehnisko specifikāciju un izsludinājusi iepirkumu – atklāts konkurss “Būvniecības ieceres dokumentācijas izstrāde, autoruzraudzība un būvdarbi ēkas Jūrmalas ielā 2, Liepājā (kadastra </w:t>
      </w:r>
      <w:proofErr w:type="spellStart"/>
      <w:r w:rsidRPr="00CE68EA">
        <w:rPr>
          <w:rFonts w:asciiTheme="minorHAnsi" w:hAnsiTheme="minorHAnsi" w:cstheme="minorHAnsi"/>
          <w:color w:val="000000"/>
        </w:rPr>
        <w:t>apz</w:t>
      </w:r>
      <w:proofErr w:type="spellEnd"/>
      <w:r w:rsidRPr="00CE68EA">
        <w:rPr>
          <w:rFonts w:asciiTheme="minorHAnsi" w:hAnsiTheme="minorHAnsi" w:cstheme="minorHAnsi"/>
          <w:color w:val="000000"/>
        </w:rPr>
        <w:t xml:space="preserve">. 17000400213031) atjaunošanai un pielāgošanai rehabilitācijas pakalpojumu sniegšanai”, iepirkuma identifikācijas Nr. PS 2025/3. </w:t>
      </w:r>
    </w:p>
    <w:p w14:paraId="6DFEF595" w14:textId="77777777" w:rsidR="00273F7A" w:rsidRPr="00CE68EA" w:rsidRDefault="00273F7A" w:rsidP="00273F7A">
      <w:pPr>
        <w:pStyle w:val="Paraststmeklis"/>
        <w:spacing w:before="0" w:beforeAutospacing="0" w:after="80" w:afterAutospacing="0" w:line="276" w:lineRule="auto"/>
        <w:jc w:val="both"/>
        <w:rPr>
          <w:rFonts w:asciiTheme="minorHAnsi" w:hAnsiTheme="minorHAnsi" w:cstheme="minorHAnsi"/>
          <w:color w:val="000000"/>
        </w:rPr>
      </w:pPr>
      <w:r w:rsidRPr="00CE68EA">
        <w:rPr>
          <w:rFonts w:asciiTheme="minorHAnsi" w:hAnsiTheme="minorHAnsi" w:cstheme="minorHAnsi"/>
        </w:rPr>
        <w:t>VSIA “Piejūras slimnīca”</w:t>
      </w:r>
      <w:r w:rsidRPr="00CE68EA">
        <w:rPr>
          <w:rFonts w:asciiTheme="minorHAnsi" w:hAnsiTheme="minorHAnsi" w:cstheme="minorHAnsi"/>
          <w:color w:val="000000"/>
        </w:rPr>
        <w:t xml:space="preserve"> investīciju projekta kopējais budžets – 740 599,86 EUR, no tā valsts budžeta finansējums pievienotās vērtības nodokļu segšanai 128 533,86 EUR.</w:t>
      </w:r>
    </w:p>
    <w:p w14:paraId="41141F02" w14:textId="6920496A" w:rsidR="1370DCD1" w:rsidRPr="00CE68EA" w:rsidRDefault="00273F7A" w:rsidP="00273F7A">
      <w:pPr>
        <w:rPr>
          <w:rFonts w:cstheme="minorHAnsi"/>
          <w:color w:val="FF0000"/>
        </w:rPr>
      </w:pPr>
      <w:r w:rsidRPr="00CE68EA">
        <w:rPr>
          <w:rFonts w:cstheme="minorHAnsi"/>
        </w:rPr>
        <w:t>Plānots realizēt projekta aktivitātes 2025.- 2026.gadā.</w:t>
      </w:r>
    </w:p>
    <w:p w14:paraId="766CA5FA" w14:textId="65700C49" w:rsidR="00C912BF" w:rsidRPr="00CE68EA" w:rsidRDefault="004B0054" w:rsidP="003D2257">
      <w:pPr>
        <w:pStyle w:val="Virsraksts1"/>
        <w:rPr>
          <w:rStyle w:val="Intensvsizclums"/>
          <w:rFonts w:cstheme="minorHAnsi"/>
          <w:b w:val="0"/>
          <w:bCs w:val="0"/>
          <w:caps/>
          <w:color w:val="FFFFFF" w:themeColor="background1"/>
          <w:spacing w:val="15"/>
        </w:rPr>
      </w:pPr>
      <w:r w:rsidRPr="00CE68EA">
        <w:rPr>
          <w:rStyle w:val="Intensvsizclums"/>
          <w:rFonts w:cstheme="minorHAnsi"/>
          <w:b w:val="0"/>
          <w:bCs w:val="0"/>
          <w:caps/>
          <w:color w:val="FFFFFF" w:themeColor="background1"/>
          <w:spacing w:val="15"/>
        </w:rPr>
        <w:t>V</w:t>
      </w:r>
      <w:r w:rsidR="00C912BF" w:rsidRPr="00CE68EA">
        <w:rPr>
          <w:rStyle w:val="Intensvsizclums"/>
          <w:rFonts w:cstheme="minorHAnsi"/>
          <w:b w:val="0"/>
          <w:bCs w:val="0"/>
          <w:caps/>
          <w:color w:val="FFFFFF" w:themeColor="background1"/>
          <w:spacing w:val="15"/>
        </w:rPr>
        <w:t>eselības aprūpe</w:t>
      </w:r>
    </w:p>
    <w:p w14:paraId="2BC45A85" w14:textId="4DF7542E" w:rsidR="00C932D2" w:rsidRPr="00CE68EA" w:rsidRDefault="00C932D2" w:rsidP="00C932D2">
      <w:pPr>
        <w:pStyle w:val="Virsraksts2"/>
        <w:rPr>
          <w:rFonts w:cstheme="minorHAnsi"/>
        </w:rPr>
      </w:pPr>
      <w:r w:rsidRPr="00CE68EA">
        <w:rPr>
          <w:rFonts w:cstheme="minorHAnsi"/>
        </w:rPr>
        <w:t>Ambulatorā veselības aprūpe</w:t>
      </w:r>
    </w:p>
    <w:p w14:paraId="24653EF5" w14:textId="2549686D" w:rsidR="00C932D2" w:rsidRPr="00CE68EA" w:rsidRDefault="00C932D2" w:rsidP="00C932D2">
      <w:pPr>
        <w:rPr>
          <w:rFonts w:cstheme="minorHAnsi"/>
        </w:rPr>
      </w:pPr>
      <w:r w:rsidRPr="00CE68EA">
        <w:rPr>
          <w:rFonts w:cstheme="minorHAnsi"/>
        </w:rPr>
        <w:t>Ambulatorās veselības aprūpes naturālo rādītāju kopsavilkums 202</w:t>
      </w:r>
      <w:r w:rsidR="00273F7A" w:rsidRPr="00CE68EA">
        <w:rPr>
          <w:rFonts w:cstheme="minorHAnsi"/>
        </w:rPr>
        <w:t>5</w:t>
      </w:r>
      <w:r w:rsidRPr="00CE68EA">
        <w:rPr>
          <w:rFonts w:cstheme="minorHAnsi"/>
        </w:rPr>
        <w:t>. gada</w:t>
      </w:r>
      <w:r w:rsidR="00273F7A" w:rsidRPr="00CE68EA">
        <w:rPr>
          <w:rFonts w:cstheme="minorHAnsi"/>
        </w:rPr>
        <w:t xml:space="preserve"> 1.ceturksnī</w:t>
      </w:r>
      <w:r w:rsidRPr="00CE68EA">
        <w:rPr>
          <w:rFonts w:cstheme="minorHAnsi"/>
        </w:rPr>
        <w:t>:</w:t>
      </w:r>
    </w:p>
    <w:tbl>
      <w:tblPr>
        <w:tblStyle w:val="Reatabula1gaia-izclums2"/>
        <w:tblW w:w="9493" w:type="dxa"/>
        <w:tblLayout w:type="fixed"/>
        <w:tblLook w:val="04A0" w:firstRow="1" w:lastRow="0" w:firstColumn="1" w:lastColumn="0" w:noHBand="0" w:noVBand="1"/>
      </w:tblPr>
      <w:tblGrid>
        <w:gridCol w:w="5240"/>
        <w:gridCol w:w="2126"/>
        <w:gridCol w:w="2127"/>
      </w:tblGrid>
      <w:tr w:rsidR="00C932D2" w:rsidRPr="00CE68EA" w14:paraId="29F711F4" w14:textId="77777777" w:rsidTr="000746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47A13EF2" w14:textId="77777777" w:rsidR="00C932D2" w:rsidRPr="00CE68EA" w:rsidRDefault="00C932D2" w:rsidP="00847992">
            <w:pPr>
              <w:spacing w:before="40" w:after="40"/>
              <w:rPr>
                <w:rFonts w:cstheme="minorHAnsi"/>
                <w:sz w:val="22"/>
                <w:szCs w:val="22"/>
              </w:rPr>
            </w:pPr>
            <w:r w:rsidRPr="00CE68EA">
              <w:rPr>
                <w:rFonts w:cstheme="minorHAnsi"/>
                <w:sz w:val="22"/>
                <w:szCs w:val="22"/>
              </w:rPr>
              <w:t>Rādītāji</w:t>
            </w:r>
          </w:p>
        </w:tc>
        <w:tc>
          <w:tcPr>
            <w:tcW w:w="2126" w:type="dxa"/>
          </w:tcPr>
          <w:p w14:paraId="0FF89E96" w14:textId="77777777" w:rsidR="00C932D2" w:rsidRPr="00CE68EA" w:rsidRDefault="00C932D2" w:rsidP="00847992">
            <w:pPr>
              <w:spacing w:before="40" w:after="40"/>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CE68EA">
              <w:rPr>
                <w:rFonts w:cstheme="minorHAnsi"/>
                <w:sz w:val="22"/>
                <w:szCs w:val="22"/>
              </w:rPr>
              <w:t>Plāns</w:t>
            </w:r>
          </w:p>
        </w:tc>
        <w:tc>
          <w:tcPr>
            <w:tcW w:w="2127" w:type="dxa"/>
          </w:tcPr>
          <w:p w14:paraId="4FE89DB5" w14:textId="77777777" w:rsidR="00C932D2" w:rsidRPr="00CE68EA" w:rsidRDefault="00C932D2" w:rsidP="00847992">
            <w:pPr>
              <w:spacing w:before="40" w:after="40"/>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CE68EA">
              <w:rPr>
                <w:rFonts w:cstheme="minorHAnsi"/>
                <w:sz w:val="22"/>
                <w:szCs w:val="22"/>
              </w:rPr>
              <w:t>Izpilde</w:t>
            </w:r>
          </w:p>
        </w:tc>
      </w:tr>
      <w:tr w:rsidR="00C932D2" w:rsidRPr="00CE68EA" w14:paraId="160D136B" w14:textId="77777777" w:rsidTr="000746AD">
        <w:trPr>
          <w:trHeight w:val="70"/>
        </w:trPr>
        <w:tc>
          <w:tcPr>
            <w:cnfStyle w:val="001000000000" w:firstRow="0" w:lastRow="0" w:firstColumn="1" w:lastColumn="0" w:oddVBand="0" w:evenVBand="0" w:oddHBand="0" w:evenHBand="0" w:firstRowFirstColumn="0" w:firstRowLastColumn="0" w:lastRowFirstColumn="0" w:lastRowLastColumn="0"/>
            <w:tcW w:w="5240" w:type="dxa"/>
          </w:tcPr>
          <w:p w14:paraId="01002845" w14:textId="77777777" w:rsidR="00C932D2" w:rsidRPr="00CE68EA" w:rsidRDefault="00C932D2" w:rsidP="00847992">
            <w:pPr>
              <w:spacing w:before="40" w:after="40"/>
              <w:rPr>
                <w:rFonts w:cstheme="minorHAnsi"/>
                <w:b w:val="0"/>
                <w:bCs w:val="0"/>
                <w:sz w:val="22"/>
                <w:szCs w:val="22"/>
              </w:rPr>
            </w:pPr>
            <w:r w:rsidRPr="00CE68EA">
              <w:rPr>
                <w:rFonts w:cstheme="minorHAnsi"/>
                <w:b w:val="0"/>
                <w:bCs w:val="0"/>
                <w:sz w:val="22"/>
                <w:szCs w:val="22"/>
              </w:rPr>
              <w:t>Ambulatoro apmeklējumu skaits, t.sk.</w:t>
            </w:r>
          </w:p>
        </w:tc>
        <w:tc>
          <w:tcPr>
            <w:tcW w:w="2126" w:type="dxa"/>
          </w:tcPr>
          <w:p w14:paraId="7E157EC2" w14:textId="1CB0019C" w:rsidR="00C932D2" w:rsidRPr="00CE68EA" w:rsidRDefault="00273F7A" w:rsidP="00847992">
            <w:pPr>
              <w:spacing w:before="40" w:after="40"/>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E68EA">
              <w:rPr>
                <w:rFonts w:cstheme="minorHAnsi"/>
                <w:sz w:val="22"/>
                <w:szCs w:val="22"/>
              </w:rPr>
              <w:t>6385</w:t>
            </w:r>
          </w:p>
        </w:tc>
        <w:tc>
          <w:tcPr>
            <w:tcW w:w="2127" w:type="dxa"/>
          </w:tcPr>
          <w:p w14:paraId="19ACD250" w14:textId="4079B1B9" w:rsidR="00C932D2" w:rsidRPr="00CE68EA" w:rsidRDefault="00273F7A" w:rsidP="00847992">
            <w:pPr>
              <w:spacing w:before="40" w:after="40"/>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E68EA">
              <w:rPr>
                <w:rFonts w:cstheme="minorHAnsi"/>
                <w:sz w:val="22"/>
                <w:szCs w:val="22"/>
              </w:rPr>
              <w:t>6841</w:t>
            </w:r>
          </w:p>
        </w:tc>
      </w:tr>
      <w:tr w:rsidR="00C932D2" w:rsidRPr="00CE68EA" w14:paraId="7891ADDE" w14:textId="77777777" w:rsidTr="000746AD">
        <w:trPr>
          <w:trHeight w:val="70"/>
        </w:trPr>
        <w:tc>
          <w:tcPr>
            <w:cnfStyle w:val="001000000000" w:firstRow="0" w:lastRow="0" w:firstColumn="1" w:lastColumn="0" w:oddVBand="0" w:evenVBand="0" w:oddHBand="0" w:evenHBand="0" w:firstRowFirstColumn="0" w:firstRowLastColumn="0" w:lastRowFirstColumn="0" w:lastRowLastColumn="0"/>
            <w:tcW w:w="5240" w:type="dxa"/>
          </w:tcPr>
          <w:p w14:paraId="0EAEA6DF" w14:textId="77777777" w:rsidR="00C932D2" w:rsidRPr="00CE68EA" w:rsidRDefault="00C932D2" w:rsidP="00847992">
            <w:pPr>
              <w:spacing w:before="40" w:after="40"/>
              <w:jc w:val="right"/>
              <w:rPr>
                <w:rFonts w:cstheme="minorHAnsi"/>
                <w:b w:val="0"/>
                <w:bCs w:val="0"/>
                <w:i/>
                <w:iCs/>
                <w:sz w:val="22"/>
                <w:szCs w:val="22"/>
              </w:rPr>
            </w:pPr>
            <w:r w:rsidRPr="00CE68EA">
              <w:rPr>
                <w:rFonts w:cstheme="minorHAnsi"/>
                <w:b w:val="0"/>
                <w:bCs w:val="0"/>
                <w:i/>
                <w:iCs/>
                <w:sz w:val="22"/>
                <w:szCs w:val="22"/>
              </w:rPr>
              <w:t>dienas stacionārā</w:t>
            </w:r>
          </w:p>
        </w:tc>
        <w:tc>
          <w:tcPr>
            <w:tcW w:w="2126" w:type="dxa"/>
          </w:tcPr>
          <w:p w14:paraId="5D4478ED" w14:textId="196A3D55" w:rsidR="00C932D2" w:rsidRPr="00CE68EA" w:rsidRDefault="00273F7A" w:rsidP="00847992">
            <w:pPr>
              <w:spacing w:before="40" w:after="40"/>
              <w:jc w:val="right"/>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CE68EA">
              <w:rPr>
                <w:rFonts w:cstheme="minorHAnsi"/>
                <w:i/>
                <w:iCs/>
                <w:sz w:val="22"/>
                <w:szCs w:val="22"/>
              </w:rPr>
              <w:t>2750</w:t>
            </w:r>
          </w:p>
        </w:tc>
        <w:tc>
          <w:tcPr>
            <w:tcW w:w="2127" w:type="dxa"/>
          </w:tcPr>
          <w:p w14:paraId="26DFF39E" w14:textId="1D849E72" w:rsidR="00C932D2" w:rsidRPr="00CE68EA" w:rsidRDefault="00273F7A" w:rsidP="00847992">
            <w:pPr>
              <w:spacing w:before="40" w:after="40"/>
              <w:jc w:val="right"/>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CE68EA">
              <w:rPr>
                <w:rFonts w:cstheme="minorHAnsi"/>
                <w:i/>
                <w:iCs/>
                <w:sz w:val="22"/>
                <w:szCs w:val="22"/>
              </w:rPr>
              <w:t>2997</w:t>
            </w:r>
          </w:p>
        </w:tc>
      </w:tr>
      <w:tr w:rsidR="00C932D2" w:rsidRPr="00CE68EA" w14:paraId="04999DE1" w14:textId="77777777" w:rsidTr="000746AD">
        <w:trPr>
          <w:trHeight w:val="70"/>
        </w:trPr>
        <w:tc>
          <w:tcPr>
            <w:cnfStyle w:val="001000000000" w:firstRow="0" w:lastRow="0" w:firstColumn="1" w:lastColumn="0" w:oddVBand="0" w:evenVBand="0" w:oddHBand="0" w:evenHBand="0" w:firstRowFirstColumn="0" w:firstRowLastColumn="0" w:lastRowFirstColumn="0" w:lastRowLastColumn="0"/>
            <w:tcW w:w="5240" w:type="dxa"/>
          </w:tcPr>
          <w:p w14:paraId="07C803B4" w14:textId="77777777" w:rsidR="00C932D2" w:rsidRPr="00CE68EA" w:rsidRDefault="00C932D2" w:rsidP="00847992">
            <w:pPr>
              <w:spacing w:before="40" w:after="40"/>
              <w:rPr>
                <w:rFonts w:cstheme="minorHAnsi"/>
                <w:b w:val="0"/>
                <w:bCs w:val="0"/>
                <w:sz w:val="22"/>
                <w:szCs w:val="22"/>
              </w:rPr>
            </w:pPr>
            <w:r w:rsidRPr="00CE68EA">
              <w:rPr>
                <w:rFonts w:cstheme="minorHAnsi"/>
                <w:b w:val="0"/>
                <w:bCs w:val="0"/>
                <w:sz w:val="22"/>
                <w:szCs w:val="22"/>
              </w:rPr>
              <w:t>Vidējais gultu skaits dienas stacionārā</w:t>
            </w:r>
          </w:p>
        </w:tc>
        <w:tc>
          <w:tcPr>
            <w:tcW w:w="2126" w:type="dxa"/>
          </w:tcPr>
          <w:p w14:paraId="1F42D327" w14:textId="77777777" w:rsidR="00C932D2" w:rsidRPr="00CE68EA" w:rsidRDefault="00C932D2" w:rsidP="00847992">
            <w:pPr>
              <w:spacing w:before="40" w:after="40"/>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E68EA">
              <w:rPr>
                <w:rFonts w:cstheme="minorHAnsi"/>
                <w:sz w:val="22"/>
                <w:szCs w:val="22"/>
              </w:rPr>
              <w:t>60</w:t>
            </w:r>
          </w:p>
        </w:tc>
        <w:tc>
          <w:tcPr>
            <w:tcW w:w="2127" w:type="dxa"/>
          </w:tcPr>
          <w:p w14:paraId="61AB52F0" w14:textId="77777777" w:rsidR="00C932D2" w:rsidRPr="00CE68EA" w:rsidRDefault="00C932D2" w:rsidP="00847992">
            <w:pPr>
              <w:spacing w:before="40" w:after="40"/>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E68EA">
              <w:rPr>
                <w:rFonts w:cstheme="minorHAnsi"/>
                <w:sz w:val="22"/>
                <w:szCs w:val="22"/>
              </w:rPr>
              <w:t>60</w:t>
            </w:r>
          </w:p>
        </w:tc>
      </w:tr>
      <w:tr w:rsidR="00C932D2" w:rsidRPr="00CE68EA" w14:paraId="375BA86F" w14:textId="77777777" w:rsidTr="000746AD">
        <w:trPr>
          <w:trHeight w:val="70"/>
        </w:trPr>
        <w:tc>
          <w:tcPr>
            <w:cnfStyle w:val="001000000000" w:firstRow="0" w:lastRow="0" w:firstColumn="1" w:lastColumn="0" w:oddVBand="0" w:evenVBand="0" w:oddHBand="0" w:evenHBand="0" w:firstRowFirstColumn="0" w:firstRowLastColumn="0" w:lastRowFirstColumn="0" w:lastRowLastColumn="0"/>
            <w:tcW w:w="5240" w:type="dxa"/>
          </w:tcPr>
          <w:p w14:paraId="144A684E" w14:textId="77777777" w:rsidR="00C932D2" w:rsidRPr="00CE68EA" w:rsidRDefault="00C932D2" w:rsidP="00847992">
            <w:pPr>
              <w:spacing w:before="40" w:after="40"/>
              <w:rPr>
                <w:rFonts w:cstheme="minorHAnsi"/>
                <w:b w:val="0"/>
                <w:bCs w:val="0"/>
                <w:sz w:val="22"/>
                <w:szCs w:val="22"/>
              </w:rPr>
            </w:pPr>
            <w:r w:rsidRPr="00CE68EA">
              <w:rPr>
                <w:rFonts w:cstheme="minorHAnsi"/>
                <w:b w:val="0"/>
                <w:bCs w:val="0"/>
                <w:sz w:val="22"/>
                <w:szCs w:val="22"/>
              </w:rPr>
              <w:lastRenderedPageBreak/>
              <w:t>Vidējais gultu noslogojums dienas stacionārā, %</w:t>
            </w:r>
          </w:p>
        </w:tc>
        <w:tc>
          <w:tcPr>
            <w:tcW w:w="2126" w:type="dxa"/>
          </w:tcPr>
          <w:p w14:paraId="05902838" w14:textId="37126765" w:rsidR="00C932D2" w:rsidRPr="00CE68EA" w:rsidRDefault="00273F7A" w:rsidP="00847992">
            <w:pPr>
              <w:spacing w:before="40" w:after="40"/>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E68EA">
              <w:rPr>
                <w:rFonts w:cstheme="minorHAnsi"/>
                <w:sz w:val="22"/>
                <w:szCs w:val="22"/>
              </w:rPr>
              <w:t>72,75</w:t>
            </w:r>
          </w:p>
        </w:tc>
        <w:tc>
          <w:tcPr>
            <w:tcW w:w="2127" w:type="dxa"/>
          </w:tcPr>
          <w:p w14:paraId="0663A272" w14:textId="251AE51A" w:rsidR="00C932D2" w:rsidRPr="00CE68EA" w:rsidRDefault="00273F7A" w:rsidP="00847992">
            <w:pPr>
              <w:spacing w:before="40" w:after="40"/>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E68EA">
              <w:rPr>
                <w:rFonts w:cstheme="minorHAnsi"/>
                <w:sz w:val="22"/>
                <w:szCs w:val="22"/>
              </w:rPr>
              <w:t>79,29</w:t>
            </w:r>
          </w:p>
        </w:tc>
      </w:tr>
    </w:tbl>
    <w:p w14:paraId="45A745E0" w14:textId="0BA4B21F" w:rsidR="00C912BF" w:rsidRPr="00CE68EA" w:rsidRDefault="00C912BF" w:rsidP="00131E43">
      <w:pPr>
        <w:rPr>
          <w:rFonts w:cstheme="minorHAnsi"/>
        </w:rPr>
      </w:pPr>
      <w:r w:rsidRPr="00CE68EA">
        <w:rPr>
          <w:rFonts w:cstheme="minorHAnsi"/>
        </w:rPr>
        <w:t xml:space="preserve">Pārskata periodā kopējais ambulatoro apmeklējumu skaits bija </w:t>
      </w:r>
      <w:r w:rsidR="00273F7A" w:rsidRPr="00CE68EA">
        <w:rPr>
          <w:rFonts w:cstheme="minorHAnsi"/>
        </w:rPr>
        <w:t>6841</w:t>
      </w:r>
      <w:r w:rsidRPr="00CE68EA">
        <w:rPr>
          <w:rFonts w:cstheme="minorHAnsi"/>
        </w:rPr>
        <w:t xml:space="preserve">, </w:t>
      </w:r>
      <w:r w:rsidR="003D2257" w:rsidRPr="00CE68EA">
        <w:rPr>
          <w:rFonts w:cstheme="minorHAnsi"/>
        </w:rPr>
        <w:t xml:space="preserve">no tiem </w:t>
      </w:r>
      <w:r w:rsidRPr="00CE68EA">
        <w:rPr>
          <w:rFonts w:cstheme="minorHAnsi"/>
        </w:rPr>
        <w:t>43,</w:t>
      </w:r>
      <w:r w:rsidR="00273F7A" w:rsidRPr="00CE68EA">
        <w:rPr>
          <w:rFonts w:cstheme="minorHAnsi"/>
        </w:rPr>
        <w:t>81</w:t>
      </w:r>
      <w:r w:rsidRPr="00CE68EA">
        <w:rPr>
          <w:rFonts w:cstheme="minorHAnsi"/>
        </w:rPr>
        <w:t xml:space="preserve"> % jeb </w:t>
      </w:r>
      <w:r w:rsidR="00273F7A" w:rsidRPr="00CE68EA">
        <w:rPr>
          <w:rFonts w:cstheme="minorHAnsi"/>
        </w:rPr>
        <w:t>2997</w:t>
      </w:r>
      <w:r w:rsidRPr="00CE68EA">
        <w:rPr>
          <w:rFonts w:cstheme="minorHAnsi"/>
        </w:rPr>
        <w:t xml:space="preserve"> apmeklējumi bijuši dienas stacionārā. Vidējais gultu noslogojums dienas stacionārā </w:t>
      </w:r>
      <w:r w:rsidR="00273F7A" w:rsidRPr="00CE68EA">
        <w:rPr>
          <w:rFonts w:cstheme="minorHAnsi"/>
        </w:rPr>
        <w:t>79,29</w:t>
      </w:r>
      <w:r w:rsidRPr="00CE68EA">
        <w:rPr>
          <w:rFonts w:cstheme="minorHAnsi"/>
        </w:rPr>
        <w:t xml:space="preserve">%. </w:t>
      </w:r>
    </w:p>
    <w:p w14:paraId="0AFBE8AD" w14:textId="664E6EFD" w:rsidR="282F2BB0" w:rsidRPr="00CE68EA" w:rsidRDefault="69630B24">
      <w:pPr>
        <w:rPr>
          <w:rFonts w:cstheme="minorHAnsi"/>
        </w:rPr>
      </w:pPr>
      <w:r w:rsidRPr="00CE68EA">
        <w:rPr>
          <w:rFonts w:cstheme="minorHAnsi"/>
        </w:rPr>
        <w:t xml:space="preserve">Ambulatorā veselības aprūpe ir tendēta uz </w:t>
      </w:r>
      <w:proofErr w:type="spellStart"/>
      <w:r w:rsidRPr="00CE68EA">
        <w:rPr>
          <w:rFonts w:cstheme="minorHAnsi"/>
        </w:rPr>
        <w:t>multiprofesionālu</w:t>
      </w:r>
      <w:proofErr w:type="spellEnd"/>
      <w:r w:rsidRPr="00CE68EA">
        <w:rPr>
          <w:rFonts w:cstheme="minorHAnsi"/>
        </w:rPr>
        <w:t xml:space="preserve"> pieeju un psihiatrisko rehabilitāciju, ko pierāda salīdzinoši lielais dienas stacionāra apmeklējumu īpatsvars ambulatorajā etapā. Savukārt, ievērojot mūsdienīgas psihiatriskās aprūpes vadlīnijas un Nacionālā veselības dienesta līguma nosacījumus, pacientu īpatsvars, kas dienas stacionāra ietvaros saņem </w:t>
      </w:r>
      <w:proofErr w:type="spellStart"/>
      <w:r w:rsidRPr="00CE68EA">
        <w:rPr>
          <w:rFonts w:cstheme="minorHAnsi"/>
        </w:rPr>
        <w:t>multiprofesionālu</w:t>
      </w:r>
      <w:proofErr w:type="spellEnd"/>
      <w:r w:rsidRPr="00CE68EA">
        <w:rPr>
          <w:rFonts w:cstheme="minorHAnsi"/>
        </w:rPr>
        <w:t xml:space="preserve"> rehabilitāciju ar vai bez medikamentozās terapijas tuvojas 100 %.  Vidējo gultu noslogojumu stacionārā nosaka </w:t>
      </w:r>
      <w:proofErr w:type="spellStart"/>
      <w:r w:rsidRPr="00CE68EA">
        <w:rPr>
          <w:rFonts w:cstheme="minorHAnsi"/>
        </w:rPr>
        <w:t>multiprofesionālās</w:t>
      </w:r>
      <w:proofErr w:type="spellEnd"/>
      <w:r w:rsidRPr="00CE68EA">
        <w:rPr>
          <w:rFonts w:cstheme="minorHAnsi"/>
        </w:rPr>
        <w:t xml:space="preserve"> komandas kapacitāte, t.i., iespēja katram no dienas stacionārā esošajiem pacientiem saņemt ne tikai psihiatrisku un medicīnisku palīdzību, bet vienlaicīgi - arī psihologu un funkcionālo speciālistu sesijas. </w:t>
      </w:r>
    </w:p>
    <w:p w14:paraId="3ECA859B" w14:textId="1AF034D4" w:rsidR="00C932D2" w:rsidRPr="00CE68EA" w:rsidRDefault="00C932D2" w:rsidP="00C932D2">
      <w:pPr>
        <w:pStyle w:val="Virsraksts2"/>
        <w:rPr>
          <w:rFonts w:cstheme="minorHAnsi"/>
        </w:rPr>
      </w:pPr>
      <w:r w:rsidRPr="00CE68EA">
        <w:rPr>
          <w:rFonts w:cstheme="minorHAnsi"/>
        </w:rPr>
        <w:t>Stacionārā veselības aprūpe</w:t>
      </w:r>
    </w:p>
    <w:p w14:paraId="21A11D76" w14:textId="07B55705" w:rsidR="00C912BF" w:rsidRPr="00CE68EA" w:rsidRDefault="00C912BF" w:rsidP="00131E43">
      <w:pPr>
        <w:rPr>
          <w:rFonts w:cstheme="minorHAnsi"/>
        </w:rPr>
      </w:pPr>
      <w:r w:rsidRPr="00CE68EA">
        <w:rPr>
          <w:rFonts w:cstheme="minorHAnsi"/>
        </w:rPr>
        <w:t>Stacionāra</w:t>
      </w:r>
      <w:r w:rsidR="00C932D2" w:rsidRPr="00CE68EA">
        <w:rPr>
          <w:rFonts w:cstheme="minorHAnsi"/>
        </w:rPr>
        <w:t xml:space="preserve"> veselības aprūpes naturālo</w:t>
      </w:r>
      <w:r w:rsidRPr="00CE68EA">
        <w:rPr>
          <w:rFonts w:cstheme="minorHAnsi"/>
        </w:rPr>
        <w:t xml:space="preserve"> rādītāju kopsavilkums 202</w:t>
      </w:r>
      <w:r w:rsidR="00217290" w:rsidRPr="00CE68EA">
        <w:rPr>
          <w:rFonts w:cstheme="minorHAnsi"/>
        </w:rPr>
        <w:t>5</w:t>
      </w:r>
      <w:r w:rsidRPr="00CE68EA">
        <w:rPr>
          <w:rFonts w:cstheme="minorHAnsi"/>
        </w:rPr>
        <w:t>. gada</w:t>
      </w:r>
      <w:r w:rsidR="00217290" w:rsidRPr="00CE68EA">
        <w:rPr>
          <w:rFonts w:cstheme="minorHAnsi"/>
        </w:rPr>
        <w:t xml:space="preserve"> 1.ceturksnī</w:t>
      </w:r>
      <w:r w:rsidR="003D2257" w:rsidRPr="00CE68EA">
        <w:rPr>
          <w:rFonts w:cstheme="minorHAnsi"/>
        </w:rPr>
        <w:t>:</w:t>
      </w:r>
      <w:r w:rsidRPr="00CE68EA">
        <w:rPr>
          <w:rFonts w:cstheme="minorHAnsi"/>
        </w:rPr>
        <w:tab/>
      </w:r>
      <w:r w:rsidRPr="00CE68EA">
        <w:rPr>
          <w:rFonts w:cstheme="minorHAnsi"/>
        </w:rPr>
        <w:tab/>
      </w:r>
    </w:p>
    <w:tbl>
      <w:tblPr>
        <w:tblStyle w:val="Reatabula1gaia-izclums2"/>
        <w:tblW w:w="9493" w:type="dxa"/>
        <w:tblLayout w:type="fixed"/>
        <w:tblLook w:val="04A0" w:firstRow="1" w:lastRow="0" w:firstColumn="1" w:lastColumn="0" w:noHBand="0" w:noVBand="1"/>
      </w:tblPr>
      <w:tblGrid>
        <w:gridCol w:w="5098"/>
        <w:gridCol w:w="2197"/>
        <w:gridCol w:w="2198"/>
      </w:tblGrid>
      <w:tr w:rsidR="00F50B00" w:rsidRPr="00CE68EA" w14:paraId="1B78B6CF" w14:textId="77777777" w:rsidTr="69630B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428B1801" w14:textId="4B289CD7" w:rsidR="00F50B00" w:rsidRPr="00CE68EA" w:rsidRDefault="00F50B00" w:rsidP="00A179B3">
            <w:pPr>
              <w:spacing w:before="40" w:after="40"/>
              <w:rPr>
                <w:rFonts w:cstheme="minorHAnsi"/>
                <w:sz w:val="22"/>
                <w:szCs w:val="22"/>
              </w:rPr>
            </w:pPr>
            <w:r w:rsidRPr="00CE68EA">
              <w:rPr>
                <w:rFonts w:cstheme="minorHAnsi"/>
                <w:sz w:val="22"/>
                <w:szCs w:val="22"/>
              </w:rPr>
              <w:t>Rādītāji</w:t>
            </w:r>
          </w:p>
        </w:tc>
        <w:tc>
          <w:tcPr>
            <w:tcW w:w="2197" w:type="dxa"/>
          </w:tcPr>
          <w:p w14:paraId="6D24B128" w14:textId="0F104879" w:rsidR="00F50B00" w:rsidRPr="00CE68EA" w:rsidRDefault="00F50B00" w:rsidP="00F50B00">
            <w:pPr>
              <w:spacing w:before="40" w:after="40"/>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CE68EA">
              <w:rPr>
                <w:rFonts w:cstheme="minorHAnsi"/>
                <w:sz w:val="22"/>
                <w:szCs w:val="22"/>
              </w:rPr>
              <w:t>Plāns</w:t>
            </w:r>
          </w:p>
        </w:tc>
        <w:tc>
          <w:tcPr>
            <w:tcW w:w="2198" w:type="dxa"/>
          </w:tcPr>
          <w:p w14:paraId="33AD40B8" w14:textId="1D7173DF" w:rsidR="00F50B00" w:rsidRPr="00CE68EA" w:rsidRDefault="00F50B00" w:rsidP="00F50B00">
            <w:pPr>
              <w:spacing w:before="40" w:after="40"/>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CE68EA">
              <w:rPr>
                <w:rFonts w:cstheme="minorHAnsi"/>
                <w:sz w:val="22"/>
                <w:szCs w:val="22"/>
              </w:rPr>
              <w:t>Izpilde</w:t>
            </w:r>
          </w:p>
        </w:tc>
      </w:tr>
      <w:tr w:rsidR="00F50B00" w:rsidRPr="00CE68EA" w14:paraId="02D45B08" w14:textId="77777777" w:rsidTr="69630B24">
        <w:trPr>
          <w:trHeight w:val="70"/>
        </w:trPr>
        <w:tc>
          <w:tcPr>
            <w:cnfStyle w:val="001000000000" w:firstRow="0" w:lastRow="0" w:firstColumn="1" w:lastColumn="0" w:oddVBand="0" w:evenVBand="0" w:oddHBand="0" w:evenHBand="0" w:firstRowFirstColumn="0" w:firstRowLastColumn="0" w:lastRowFirstColumn="0" w:lastRowLastColumn="0"/>
            <w:tcW w:w="5098" w:type="dxa"/>
          </w:tcPr>
          <w:p w14:paraId="5584EF1A" w14:textId="4377D4B5" w:rsidR="00F50B00" w:rsidRPr="00CE68EA" w:rsidRDefault="00F50B00" w:rsidP="00F50B00">
            <w:pPr>
              <w:spacing w:before="40" w:after="40"/>
              <w:rPr>
                <w:rFonts w:cstheme="minorHAnsi"/>
                <w:b w:val="0"/>
                <w:bCs w:val="0"/>
                <w:sz w:val="22"/>
                <w:szCs w:val="22"/>
              </w:rPr>
            </w:pPr>
            <w:r w:rsidRPr="00CE68EA">
              <w:rPr>
                <w:rFonts w:cstheme="minorHAnsi"/>
                <w:b w:val="0"/>
                <w:bCs w:val="0"/>
                <w:sz w:val="22"/>
                <w:szCs w:val="22"/>
              </w:rPr>
              <w:t>Kopējais pacientu skaits, t.sk.:</w:t>
            </w:r>
          </w:p>
        </w:tc>
        <w:tc>
          <w:tcPr>
            <w:tcW w:w="2197" w:type="dxa"/>
          </w:tcPr>
          <w:p w14:paraId="67D5A10B" w14:textId="54C5E05F" w:rsidR="00F50B00" w:rsidRPr="00CE68EA" w:rsidRDefault="00273F7A" w:rsidP="00F50B00">
            <w:pPr>
              <w:spacing w:before="40" w:after="40"/>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E68EA">
              <w:rPr>
                <w:rFonts w:cstheme="minorHAnsi"/>
                <w:sz w:val="22"/>
                <w:szCs w:val="22"/>
              </w:rPr>
              <w:t>441</w:t>
            </w:r>
          </w:p>
        </w:tc>
        <w:tc>
          <w:tcPr>
            <w:tcW w:w="2198" w:type="dxa"/>
          </w:tcPr>
          <w:p w14:paraId="099012B8" w14:textId="6939930B" w:rsidR="00F50B00" w:rsidRPr="00CE68EA" w:rsidRDefault="00273F7A" w:rsidP="00F50B00">
            <w:pPr>
              <w:spacing w:before="40" w:after="40"/>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E68EA">
              <w:rPr>
                <w:rFonts w:cstheme="minorHAnsi"/>
                <w:sz w:val="22"/>
                <w:szCs w:val="22"/>
              </w:rPr>
              <w:t>472</w:t>
            </w:r>
          </w:p>
        </w:tc>
      </w:tr>
      <w:tr w:rsidR="00F50B00" w:rsidRPr="00CE68EA" w14:paraId="20449DDA" w14:textId="77777777" w:rsidTr="69630B24">
        <w:trPr>
          <w:trHeight w:val="70"/>
        </w:trPr>
        <w:tc>
          <w:tcPr>
            <w:cnfStyle w:val="001000000000" w:firstRow="0" w:lastRow="0" w:firstColumn="1" w:lastColumn="0" w:oddVBand="0" w:evenVBand="0" w:oddHBand="0" w:evenHBand="0" w:firstRowFirstColumn="0" w:firstRowLastColumn="0" w:lastRowFirstColumn="0" w:lastRowLastColumn="0"/>
            <w:tcW w:w="5098" w:type="dxa"/>
          </w:tcPr>
          <w:p w14:paraId="0CB651A7" w14:textId="5B68D499" w:rsidR="00F50B00" w:rsidRPr="00CE68EA" w:rsidRDefault="00F50B00" w:rsidP="00F50B00">
            <w:pPr>
              <w:spacing w:before="40" w:after="40"/>
              <w:jc w:val="right"/>
              <w:rPr>
                <w:rFonts w:cstheme="minorHAnsi"/>
                <w:b w:val="0"/>
                <w:bCs w:val="0"/>
                <w:i/>
                <w:iCs/>
                <w:sz w:val="22"/>
                <w:szCs w:val="22"/>
              </w:rPr>
            </w:pPr>
            <w:r w:rsidRPr="00CE68EA">
              <w:rPr>
                <w:rFonts w:cstheme="minorHAnsi"/>
                <w:b w:val="0"/>
                <w:bCs w:val="0"/>
                <w:i/>
                <w:iCs/>
                <w:sz w:val="22"/>
                <w:szCs w:val="22"/>
              </w:rPr>
              <w:t>novirzīti ambulatorai ārstēšanai pēc NMP</w:t>
            </w:r>
          </w:p>
        </w:tc>
        <w:tc>
          <w:tcPr>
            <w:tcW w:w="2197" w:type="dxa"/>
          </w:tcPr>
          <w:p w14:paraId="496732AF" w14:textId="2BD3295F" w:rsidR="00F50B00" w:rsidRPr="00CE68EA" w:rsidRDefault="00273F7A" w:rsidP="00F50B00">
            <w:pPr>
              <w:spacing w:before="40" w:after="40"/>
              <w:jc w:val="right"/>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CE68EA">
              <w:rPr>
                <w:rFonts w:cstheme="minorHAnsi"/>
                <w:i/>
                <w:iCs/>
                <w:sz w:val="22"/>
                <w:szCs w:val="22"/>
              </w:rPr>
              <w:t>10</w:t>
            </w:r>
          </w:p>
        </w:tc>
        <w:tc>
          <w:tcPr>
            <w:tcW w:w="2198" w:type="dxa"/>
          </w:tcPr>
          <w:p w14:paraId="17103433" w14:textId="532135BD" w:rsidR="00F50B00" w:rsidRPr="00CE68EA" w:rsidRDefault="00273F7A" w:rsidP="00F50B00">
            <w:pPr>
              <w:spacing w:before="40" w:after="40"/>
              <w:jc w:val="right"/>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CE68EA">
              <w:rPr>
                <w:rFonts w:cstheme="minorHAnsi"/>
                <w:i/>
                <w:iCs/>
                <w:sz w:val="22"/>
                <w:szCs w:val="22"/>
              </w:rPr>
              <w:t>10</w:t>
            </w:r>
          </w:p>
        </w:tc>
      </w:tr>
      <w:tr w:rsidR="00F50B00" w:rsidRPr="00CE68EA" w14:paraId="172F5D11" w14:textId="77777777" w:rsidTr="69630B24">
        <w:tc>
          <w:tcPr>
            <w:cnfStyle w:val="001000000000" w:firstRow="0" w:lastRow="0" w:firstColumn="1" w:lastColumn="0" w:oddVBand="0" w:evenVBand="0" w:oddHBand="0" w:evenHBand="0" w:firstRowFirstColumn="0" w:firstRowLastColumn="0" w:lastRowFirstColumn="0" w:lastRowLastColumn="0"/>
            <w:tcW w:w="5098" w:type="dxa"/>
          </w:tcPr>
          <w:p w14:paraId="2FD0D83A" w14:textId="6504E4AC" w:rsidR="00F50B00" w:rsidRPr="00CE68EA" w:rsidRDefault="00F50B00" w:rsidP="00F50B00">
            <w:pPr>
              <w:spacing w:before="40" w:after="40"/>
              <w:jc w:val="right"/>
              <w:rPr>
                <w:rFonts w:cstheme="minorHAnsi"/>
                <w:b w:val="0"/>
                <w:bCs w:val="0"/>
                <w:i/>
                <w:iCs/>
                <w:sz w:val="22"/>
                <w:szCs w:val="22"/>
              </w:rPr>
            </w:pPr>
            <w:r w:rsidRPr="00CE68EA">
              <w:rPr>
                <w:rFonts w:cstheme="minorHAnsi"/>
                <w:b w:val="0"/>
                <w:bCs w:val="0"/>
                <w:i/>
                <w:iCs/>
                <w:sz w:val="22"/>
                <w:szCs w:val="22"/>
              </w:rPr>
              <w:t>novirzīti ambulatorai ārstēšanai pēc observācijas</w:t>
            </w:r>
          </w:p>
        </w:tc>
        <w:tc>
          <w:tcPr>
            <w:tcW w:w="2197" w:type="dxa"/>
          </w:tcPr>
          <w:p w14:paraId="7A040468" w14:textId="4733236D" w:rsidR="00F50B00" w:rsidRPr="00CE68EA" w:rsidRDefault="00273F7A" w:rsidP="00F50B00">
            <w:pPr>
              <w:spacing w:before="40" w:after="40"/>
              <w:jc w:val="right"/>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CE68EA">
              <w:rPr>
                <w:rFonts w:cstheme="minorHAnsi"/>
                <w:i/>
                <w:iCs/>
                <w:sz w:val="22"/>
                <w:szCs w:val="22"/>
              </w:rPr>
              <w:t>11</w:t>
            </w:r>
          </w:p>
        </w:tc>
        <w:tc>
          <w:tcPr>
            <w:tcW w:w="2198" w:type="dxa"/>
          </w:tcPr>
          <w:p w14:paraId="0729F3BC" w14:textId="7660D700" w:rsidR="00F50B00" w:rsidRPr="00CE68EA" w:rsidRDefault="00273F7A" w:rsidP="00F50B00">
            <w:pPr>
              <w:spacing w:before="40" w:after="40"/>
              <w:jc w:val="right"/>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CE68EA">
              <w:rPr>
                <w:rFonts w:cstheme="minorHAnsi"/>
                <w:i/>
                <w:iCs/>
                <w:sz w:val="22"/>
                <w:szCs w:val="22"/>
              </w:rPr>
              <w:t>13</w:t>
            </w:r>
          </w:p>
        </w:tc>
      </w:tr>
      <w:tr w:rsidR="00F50B00" w:rsidRPr="00CE68EA" w14:paraId="02B94720" w14:textId="77777777" w:rsidTr="69630B24">
        <w:trPr>
          <w:trHeight w:val="70"/>
        </w:trPr>
        <w:tc>
          <w:tcPr>
            <w:cnfStyle w:val="001000000000" w:firstRow="0" w:lastRow="0" w:firstColumn="1" w:lastColumn="0" w:oddVBand="0" w:evenVBand="0" w:oddHBand="0" w:evenHBand="0" w:firstRowFirstColumn="0" w:firstRowLastColumn="0" w:lastRowFirstColumn="0" w:lastRowLastColumn="0"/>
            <w:tcW w:w="5098" w:type="dxa"/>
          </w:tcPr>
          <w:p w14:paraId="479D6FC8" w14:textId="11F78D1F" w:rsidR="00F50B00" w:rsidRPr="00CE68EA" w:rsidRDefault="69630B24" w:rsidP="69630B24">
            <w:pPr>
              <w:spacing w:before="40" w:after="40"/>
              <w:jc w:val="right"/>
              <w:rPr>
                <w:rFonts w:cstheme="minorHAnsi"/>
                <w:b w:val="0"/>
                <w:bCs w:val="0"/>
                <w:i/>
                <w:iCs/>
                <w:sz w:val="22"/>
                <w:szCs w:val="22"/>
              </w:rPr>
            </w:pPr>
            <w:proofErr w:type="spellStart"/>
            <w:r w:rsidRPr="00CE68EA">
              <w:rPr>
                <w:rFonts w:cstheme="minorHAnsi"/>
                <w:b w:val="0"/>
                <w:bCs w:val="0"/>
                <w:i/>
                <w:iCs/>
                <w:sz w:val="22"/>
                <w:szCs w:val="22"/>
              </w:rPr>
              <w:t>stacionētie</w:t>
            </w:r>
            <w:proofErr w:type="spellEnd"/>
          </w:p>
        </w:tc>
        <w:tc>
          <w:tcPr>
            <w:tcW w:w="2197" w:type="dxa"/>
          </w:tcPr>
          <w:p w14:paraId="7DD61DD9" w14:textId="6D8D022D" w:rsidR="00F50B00" w:rsidRPr="00CE68EA" w:rsidRDefault="00243523" w:rsidP="00F50B00">
            <w:pPr>
              <w:spacing w:before="40" w:after="40"/>
              <w:jc w:val="right"/>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CE68EA">
              <w:rPr>
                <w:rFonts w:cstheme="minorHAnsi"/>
                <w:i/>
                <w:iCs/>
                <w:sz w:val="22"/>
                <w:szCs w:val="22"/>
              </w:rPr>
              <w:t>420</w:t>
            </w:r>
          </w:p>
        </w:tc>
        <w:tc>
          <w:tcPr>
            <w:tcW w:w="2198" w:type="dxa"/>
          </w:tcPr>
          <w:p w14:paraId="1A441801" w14:textId="6449381A" w:rsidR="00F50B00" w:rsidRPr="00CE68EA" w:rsidRDefault="00243523" w:rsidP="00F50B00">
            <w:pPr>
              <w:spacing w:before="40" w:after="40"/>
              <w:jc w:val="right"/>
              <w:cnfStyle w:val="000000000000" w:firstRow="0" w:lastRow="0" w:firstColumn="0" w:lastColumn="0" w:oddVBand="0" w:evenVBand="0" w:oddHBand="0" w:evenHBand="0" w:firstRowFirstColumn="0" w:firstRowLastColumn="0" w:lastRowFirstColumn="0" w:lastRowLastColumn="0"/>
              <w:rPr>
                <w:rFonts w:cstheme="minorHAnsi"/>
                <w:i/>
                <w:iCs/>
                <w:sz w:val="22"/>
                <w:szCs w:val="22"/>
              </w:rPr>
            </w:pPr>
            <w:r w:rsidRPr="00CE68EA">
              <w:rPr>
                <w:rFonts w:cstheme="minorHAnsi"/>
                <w:i/>
                <w:iCs/>
                <w:sz w:val="22"/>
                <w:szCs w:val="22"/>
              </w:rPr>
              <w:t>449</w:t>
            </w:r>
          </w:p>
        </w:tc>
      </w:tr>
      <w:tr w:rsidR="00F50B00" w:rsidRPr="00CE68EA" w14:paraId="17D6BBE2" w14:textId="77777777" w:rsidTr="69630B24">
        <w:trPr>
          <w:trHeight w:val="317"/>
        </w:trPr>
        <w:tc>
          <w:tcPr>
            <w:cnfStyle w:val="001000000000" w:firstRow="0" w:lastRow="0" w:firstColumn="1" w:lastColumn="0" w:oddVBand="0" w:evenVBand="0" w:oddHBand="0" w:evenHBand="0" w:firstRowFirstColumn="0" w:firstRowLastColumn="0" w:lastRowFirstColumn="0" w:lastRowLastColumn="0"/>
            <w:tcW w:w="5098" w:type="dxa"/>
          </w:tcPr>
          <w:p w14:paraId="150BD83C" w14:textId="77777777" w:rsidR="00F50B00" w:rsidRPr="00CE68EA" w:rsidRDefault="00F50B00" w:rsidP="00F50B00">
            <w:pPr>
              <w:spacing w:before="40" w:after="40"/>
              <w:rPr>
                <w:rFonts w:cstheme="minorHAnsi"/>
                <w:b w:val="0"/>
                <w:bCs w:val="0"/>
                <w:sz w:val="22"/>
                <w:szCs w:val="22"/>
              </w:rPr>
            </w:pPr>
            <w:r w:rsidRPr="00CE68EA">
              <w:rPr>
                <w:rFonts w:cstheme="minorHAnsi"/>
                <w:b w:val="0"/>
                <w:bCs w:val="0"/>
                <w:sz w:val="22"/>
                <w:szCs w:val="22"/>
              </w:rPr>
              <w:t>Kopējais gultu skaits</w:t>
            </w:r>
          </w:p>
        </w:tc>
        <w:tc>
          <w:tcPr>
            <w:tcW w:w="2197" w:type="dxa"/>
          </w:tcPr>
          <w:p w14:paraId="02733CC2" w14:textId="4878A775" w:rsidR="00F50B00" w:rsidRPr="00CE68EA" w:rsidRDefault="00243523" w:rsidP="00F50B00">
            <w:pPr>
              <w:spacing w:before="40" w:after="40"/>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E68EA">
              <w:rPr>
                <w:rFonts w:cstheme="minorHAnsi"/>
                <w:sz w:val="22"/>
                <w:szCs w:val="22"/>
              </w:rPr>
              <w:t>110</w:t>
            </w:r>
          </w:p>
        </w:tc>
        <w:tc>
          <w:tcPr>
            <w:tcW w:w="2198" w:type="dxa"/>
          </w:tcPr>
          <w:p w14:paraId="19EE927B" w14:textId="60B3E60A" w:rsidR="00F50B00" w:rsidRPr="00CE68EA" w:rsidRDefault="00243523" w:rsidP="00243523">
            <w:pPr>
              <w:spacing w:before="40" w:after="40"/>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E68EA">
              <w:rPr>
                <w:rFonts w:cstheme="minorHAnsi"/>
                <w:sz w:val="22"/>
                <w:szCs w:val="22"/>
              </w:rPr>
              <w:t>105</w:t>
            </w:r>
          </w:p>
        </w:tc>
      </w:tr>
      <w:tr w:rsidR="00F50B00" w:rsidRPr="00CE68EA" w14:paraId="672E65C8" w14:textId="77777777" w:rsidTr="69630B24">
        <w:tc>
          <w:tcPr>
            <w:cnfStyle w:val="001000000000" w:firstRow="0" w:lastRow="0" w:firstColumn="1" w:lastColumn="0" w:oddVBand="0" w:evenVBand="0" w:oddHBand="0" w:evenHBand="0" w:firstRowFirstColumn="0" w:firstRowLastColumn="0" w:lastRowFirstColumn="0" w:lastRowLastColumn="0"/>
            <w:tcW w:w="5098" w:type="dxa"/>
          </w:tcPr>
          <w:p w14:paraId="264CEB49" w14:textId="7C9C8565" w:rsidR="00F50B00" w:rsidRPr="00CE68EA" w:rsidRDefault="00F50B00" w:rsidP="00F50B00">
            <w:pPr>
              <w:spacing w:before="40" w:after="40"/>
              <w:rPr>
                <w:rFonts w:cstheme="minorHAnsi"/>
                <w:b w:val="0"/>
                <w:bCs w:val="0"/>
                <w:sz w:val="22"/>
                <w:szCs w:val="22"/>
              </w:rPr>
            </w:pPr>
            <w:r w:rsidRPr="00CE68EA">
              <w:rPr>
                <w:rFonts w:cstheme="minorHAnsi"/>
                <w:b w:val="0"/>
                <w:bCs w:val="0"/>
                <w:sz w:val="22"/>
                <w:szCs w:val="22"/>
              </w:rPr>
              <w:t>Pacientu pavadītais dienu laiks slimnīcā</w:t>
            </w:r>
          </w:p>
        </w:tc>
        <w:tc>
          <w:tcPr>
            <w:tcW w:w="2197" w:type="dxa"/>
          </w:tcPr>
          <w:p w14:paraId="6FEB1C2B" w14:textId="2754A7FD" w:rsidR="00F50B00" w:rsidRPr="00CE68EA" w:rsidRDefault="00243523" w:rsidP="00F50B00">
            <w:pPr>
              <w:spacing w:before="40" w:after="40"/>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E68EA">
              <w:rPr>
                <w:rFonts w:cstheme="minorHAnsi"/>
                <w:sz w:val="22"/>
                <w:szCs w:val="22"/>
              </w:rPr>
              <w:t>8950</w:t>
            </w:r>
          </w:p>
        </w:tc>
        <w:tc>
          <w:tcPr>
            <w:tcW w:w="2198" w:type="dxa"/>
          </w:tcPr>
          <w:p w14:paraId="29A496DB" w14:textId="47294683" w:rsidR="00F50B00" w:rsidRPr="00CE68EA" w:rsidRDefault="00243523" w:rsidP="00F50B00">
            <w:pPr>
              <w:spacing w:before="40" w:after="40"/>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E68EA">
              <w:rPr>
                <w:rFonts w:cstheme="minorHAnsi"/>
                <w:sz w:val="22"/>
                <w:szCs w:val="22"/>
              </w:rPr>
              <w:t>8591</w:t>
            </w:r>
          </w:p>
        </w:tc>
      </w:tr>
      <w:tr w:rsidR="00F50B00" w:rsidRPr="00CE68EA" w14:paraId="18592EE5" w14:textId="77777777" w:rsidTr="69630B24">
        <w:tc>
          <w:tcPr>
            <w:cnfStyle w:val="001000000000" w:firstRow="0" w:lastRow="0" w:firstColumn="1" w:lastColumn="0" w:oddVBand="0" w:evenVBand="0" w:oddHBand="0" w:evenHBand="0" w:firstRowFirstColumn="0" w:firstRowLastColumn="0" w:lastRowFirstColumn="0" w:lastRowLastColumn="0"/>
            <w:tcW w:w="5098" w:type="dxa"/>
          </w:tcPr>
          <w:p w14:paraId="2E6ED987" w14:textId="77777777" w:rsidR="00F50B00" w:rsidRPr="00CE68EA" w:rsidRDefault="00F50B00" w:rsidP="00F50B00">
            <w:pPr>
              <w:spacing w:before="40" w:after="40"/>
              <w:rPr>
                <w:rFonts w:cstheme="minorHAnsi"/>
                <w:b w:val="0"/>
                <w:bCs w:val="0"/>
                <w:sz w:val="22"/>
                <w:szCs w:val="22"/>
              </w:rPr>
            </w:pPr>
            <w:r w:rsidRPr="00CE68EA">
              <w:rPr>
                <w:rFonts w:cstheme="minorHAnsi"/>
                <w:b w:val="0"/>
                <w:bCs w:val="0"/>
                <w:sz w:val="22"/>
                <w:szCs w:val="22"/>
              </w:rPr>
              <w:t>Vidējais ārstēšanas ilgums, dienas</w:t>
            </w:r>
          </w:p>
        </w:tc>
        <w:tc>
          <w:tcPr>
            <w:tcW w:w="2197" w:type="dxa"/>
          </w:tcPr>
          <w:p w14:paraId="6D9BCD1B" w14:textId="7037B67C" w:rsidR="00F50B00" w:rsidRPr="00CE68EA" w:rsidRDefault="00243523" w:rsidP="00F50B00">
            <w:pPr>
              <w:spacing w:before="40" w:after="40"/>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E68EA">
              <w:rPr>
                <w:rFonts w:cstheme="minorHAnsi"/>
                <w:sz w:val="22"/>
                <w:szCs w:val="22"/>
              </w:rPr>
              <w:t>21,31</w:t>
            </w:r>
          </w:p>
        </w:tc>
        <w:tc>
          <w:tcPr>
            <w:tcW w:w="2198" w:type="dxa"/>
          </w:tcPr>
          <w:p w14:paraId="0D188670" w14:textId="4907DDB7" w:rsidR="00F50B00" w:rsidRPr="00CE68EA" w:rsidRDefault="00B97204" w:rsidP="00F50B00">
            <w:pPr>
              <w:spacing w:before="40" w:after="40"/>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E68EA">
              <w:rPr>
                <w:rFonts w:cstheme="minorHAnsi"/>
                <w:sz w:val="22"/>
                <w:szCs w:val="22"/>
              </w:rPr>
              <w:t>20,21</w:t>
            </w:r>
          </w:p>
        </w:tc>
      </w:tr>
      <w:tr w:rsidR="00F50B00" w:rsidRPr="00CE68EA" w14:paraId="4851E35D" w14:textId="77777777" w:rsidTr="69630B24">
        <w:tc>
          <w:tcPr>
            <w:cnfStyle w:val="001000000000" w:firstRow="0" w:lastRow="0" w:firstColumn="1" w:lastColumn="0" w:oddVBand="0" w:evenVBand="0" w:oddHBand="0" w:evenHBand="0" w:firstRowFirstColumn="0" w:firstRowLastColumn="0" w:lastRowFirstColumn="0" w:lastRowLastColumn="0"/>
            <w:tcW w:w="5098" w:type="dxa"/>
          </w:tcPr>
          <w:p w14:paraId="3068BC81" w14:textId="562E8C00" w:rsidR="00F50B00" w:rsidRPr="00CE68EA" w:rsidRDefault="00F50B00" w:rsidP="00F50B00">
            <w:pPr>
              <w:spacing w:before="40" w:after="40"/>
              <w:rPr>
                <w:rFonts w:cstheme="minorHAnsi"/>
                <w:b w:val="0"/>
                <w:bCs w:val="0"/>
                <w:sz w:val="22"/>
                <w:szCs w:val="22"/>
              </w:rPr>
            </w:pPr>
            <w:r w:rsidRPr="00CE68EA">
              <w:rPr>
                <w:rFonts w:cstheme="minorHAnsi"/>
                <w:b w:val="0"/>
                <w:bCs w:val="0"/>
                <w:sz w:val="22"/>
                <w:szCs w:val="22"/>
              </w:rPr>
              <w:t>Vidējais gultu noslogojums stacionārā %</w:t>
            </w:r>
          </w:p>
        </w:tc>
        <w:tc>
          <w:tcPr>
            <w:tcW w:w="2197" w:type="dxa"/>
          </w:tcPr>
          <w:p w14:paraId="3D1470A0" w14:textId="3AEDD93F" w:rsidR="00F50B00" w:rsidRPr="00CE68EA" w:rsidRDefault="00243523" w:rsidP="00F50B00">
            <w:pPr>
              <w:spacing w:before="40" w:after="40"/>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E68EA">
              <w:rPr>
                <w:rFonts w:cstheme="minorHAnsi"/>
                <w:sz w:val="22"/>
                <w:szCs w:val="22"/>
              </w:rPr>
              <w:t>90,40</w:t>
            </w:r>
          </w:p>
        </w:tc>
        <w:tc>
          <w:tcPr>
            <w:tcW w:w="2198" w:type="dxa"/>
          </w:tcPr>
          <w:p w14:paraId="54317E75" w14:textId="2921BF04" w:rsidR="00F50B00" w:rsidRPr="00CE68EA" w:rsidRDefault="00243523" w:rsidP="00F50B00">
            <w:pPr>
              <w:spacing w:before="40" w:after="40"/>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E68EA">
              <w:rPr>
                <w:rFonts w:cstheme="minorHAnsi"/>
                <w:sz w:val="22"/>
                <w:szCs w:val="22"/>
              </w:rPr>
              <w:t>90,91</w:t>
            </w:r>
          </w:p>
        </w:tc>
      </w:tr>
      <w:tr w:rsidR="00F50B00" w:rsidRPr="00CE68EA" w14:paraId="4EC67E4D" w14:textId="77777777" w:rsidTr="69630B24">
        <w:trPr>
          <w:trHeight w:val="70"/>
        </w:trPr>
        <w:tc>
          <w:tcPr>
            <w:cnfStyle w:val="001000000000" w:firstRow="0" w:lastRow="0" w:firstColumn="1" w:lastColumn="0" w:oddVBand="0" w:evenVBand="0" w:oddHBand="0" w:evenHBand="0" w:firstRowFirstColumn="0" w:firstRowLastColumn="0" w:lastRowFirstColumn="0" w:lastRowLastColumn="0"/>
            <w:tcW w:w="5098" w:type="dxa"/>
          </w:tcPr>
          <w:p w14:paraId="088C4E91" w14:textId="57179B2F" w:rsidR="00F50B00" w:rsidRPr="00CE68EA" w:rsidRDefault="00F50B00" w:rsidP="00F50B00">
            <w:pPr>
              <w:spacing w:before="40" w:after="40"/>
              <w:rPr>
                <w:rFonts w:cstheme="minorHAnsi"/>
                <w:b w:val="0"/>
                <w:bCs w:val="0"/>
                <w:sz w:val="22"/>
                <w:szCs w:val="22"/>
              </w:rPr>
            </w:pPr>
            <w:r w:rsidRPr="00CE68EA">
              <w:rPr>
                <w:rFonts w:cstheme="minorHAnsi"/>
                <w:b w:val="0"/>
                <w:bCs w:val="0"/>
                <w:sz w:val="22"/>
                <w:szCs w:val="22"/>
              </w:rPr>
              <w:t>Pacienti, kas ārstējās stacionārā atkārtoti</w:t>
            </w:r>
          </w:p>
        </w:tc>
        <w:tc>
          <w:tcPr>
            <w:tcW w:w="2197" w:type="dxa"/>
          </w:tcPr>
          <w:p w14:paraId="09AEB3BF" w14:textId="553E867A" w:rsidR="00F50B00" w:rsidRPr="00CE68EA" w:rsidRDefault="00243523" w:rsidP="00F50B00">
            <w:pPr>
              <w:spacing w:before="40" w:after="40"/>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E68EA">
              <w:rPr>
                <w:rFonts w:cstheme="minorHAnsi"/>
                <w:sz w:val="22"/>
                <w:szCs w:val="22"/>
              </w:rPr>
              <w:t>100</w:t>
            </w:r>
          </w:p>
        </w:tc>
        <w:tc>
          <w:tcPr>
            <w:tcW w:w="2198" w:type="dxa"/>
          </w:tcPr>
          <w:p w14:paraId="0E325A2A" w14:textId="16FECDB2" w:rsidR="00F50B00" w:rsidRPr="00CE68EA" w:rsidRDefault="00243523" w:rsidP="00F50B00">
            <w:pPr>
              <w:spacing w:before="40" w:after="40"/>
              <w:jc w:val="right"/>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E68EA">
              <w:rPr>
                <w:rFonts w:cstheme="minorHAnsi"/>
                <w:sz w:val="22"/>
                <w:szCs w:val="22"/>
              </w:rPr>
              <w:t>64</w:t>
            </w:r>
          </w:p>
        </w:tc>
      </w:tr>
    </w:tbl>
    <w:p w14:paraId="5555291E" w14:textId="73E0AA2B" w:rsidR="00C932D2" w:rsidRPr="00CE68EA" w:rsidRDefault="00C932D2" w:rsidP="00C932D2">
      <w:pPr>
        <w:rPr>
          <w:rFonts w:cstheme="minorHAnsi"/>
        </w:rPr>
      </w:pPr>
      <w:r w:rsidRPr="00CE68EA">
        <w:rPr>
          <w:rFonts w:cstheme="minorHAnsi"/>
        </w:rPr>
        <w:t>202</w:t>
      </w:r>
      <w:r w:rsidR="00243523" w:rsidRPr="00CE68EA">
        <w:rPr>
          <w:rFonts w:cstheme="minorHAnsi"/>
        </w:rPr>
        <w:t>5</w:t>
      </w:r>
      <w:r w:rsidRPr="00CE68EA">
        <w:rPr>
          <w:rFonts w:cstheme="minorHAnsi"/>
        </w:rPr>
        <w:t xml:space="preserve">. gada </w:t>
      </w:r>
      <w:r w:rsidR="00243523" w:rsidRPr="00CE68EA">
        <w:rPr>
          <w:rFonts w:cstheme="minorHAnsi"/>
        </w:rPr>
        <w:t xml:space="preserve">1.ceturksnī </w:t>
      </w:r>
      <w:r w:rsidRPr="00CE68EA">
        <w:rPr>
          <w:rFonts w:cstheme="minorHAnsi"/>
        </w:rPr>
        <w:t xml:space="preserve">stacionārā ārstniecības pakalpojumus saņēmuši </w:t>
      </w:r>
      <w:r w:rsidR="00243523" w:rsidRPr="00CE68EA">
        <w:rPr>
          <w:rFonts w:cstheme="minorHAnsi"/>
        </w:rPr>
        <w:t>472</w:t>
      </w:r>
      <w:r w:rsidRPr="00CE68EA">
        <w:rPr>
          <w:rFonts w:cstheme="minorHAnsi"/>
        </w:rPr>
        <w:t xml:space="preserve"> pacienti, no tiem </w:t>
      </w:r>
      <w:r w:rsidR="00243523" w:rsidRPr="00CE68EA">
        <w:rPr>
          <w:rFonts w:cstheme="minorHAnsi"/>
        </w:rPr>
        <w:t>425</w:t>
      </w:r>
      <w:r w:rsidRPr="00CE68EA">
        <w:rPr>
          <w:rFonts w:cstheme="minorHAnsi"/>
        </w:rPr>
        <w:t xml:space="preserve"> izrakstīti, </w:t>
      </w:r>
      <w:r w:rsidR="00243523" w:rsidRPr="00CE68EA">
        <w:rPr>
          <w:rFonts w:cstheme="minorHAnsi"/>
        </w:rPr>
        <w:t>96</w:t>
      </w:r>
      <w:r w:rsidRPr="00CE68EA">
        <w:rPr>
          <w:rFonts w:cstheme="minorHAnsi"/>
        </w:rPr>
        <w:t xml:space="preserve"> pacienti turpina ārstēšanos diennakts stacionārā. Kopējais gultu dienu skaits ir </w:t>
      </w:r>
      <w:r w:rsidR="00243523" w:rsidRPr="00CE68EA">
        <w:rPr>
          <w:rFonts w:cstheme="minorHAnsi"/>
        </w:rPr>
        <w:t>8 591</w:t>
      </w:r>
      <w:r w:rsidRPr="00CE68EA">
        <w:rPr>
          <w:rFonts w:cstheme="minorHAnsi"/>
        </w:rPr>
        <w:t xml:space="preserve">, vidējais ārstēšanās ilgums stacionārā ir </w:t>
      </w:r>
      <w:r w:rsidR="00243523" w:rsidRPr="00CE68EA">
        <w:rPr>
          <w:rFonts w:cstheme="minorHAnsi"/>
        </w:rPr>
        <w:t xml:space="preserve">20,21 </w:t>
      </w:r>
      <w:r w:rsidRPr="00CE68EA">
        <w:rPr>
          <w:rFonts w:cstheme="minorHAnsi"/>
        </w:rPr>
        <w:t xml:space="preserve">dienas, vidējais gultu noslogojums </w:t>
      </w:r>
      <w:r w:rsidR="00243523" w:rsidRPr="00CE68EA">
        <w:rPr>
          <w:rFonts w:cstheme="minorHAnsi"/>
        </w:rPr>
        <w:t>90,91</w:t>
      </w:r>
      <w:r w:rsidRPr="00CE68EA">
        <w:rPr>
          <w:rFonts w:cstheme="minorHAnsi"/>
        </w:rPr>
        <w:t xml:space="preserve">%. </w:t>
      </w:r>
    </w:p>
    <w:p w14:paraId="2EE4B357" w14:textId="6651BE7A" w:rsidR="00C932D2" w:rsidRPr="00CE68EA" w:rsidRDefault="00C932D2" w:rsidP="00C932D2">
      <w:pPr>
        <w:pStyle w:val="Virsraksts2"/>
        <w:rPr>
          <w:rFonts w:cstheme="minorHAnsi"/>
        </w:rPr>
      </w:pPr>
      <w:r w:rsidRPr="00CE68EA">
        <w:rPr>
          <w:rFonts w:cstheme="minorHAnsi"/>
        </w:rPr>
        <w:t>Citi pakalpojumi</w:t>
      </w:r>
    </w:p>
    <w:p w14:paraId="4512B378" w14:textId="3A42B260" w:rsidR="00C932D2" w:rsidRPr="00CE68EA" w:rsidRDefault="00C932D2" w:rsidP="00C932D2">
      <w:pPr>
        <w:rPr>
          <w:rFonts w:cstheme="minorHAnsi"/>
        </w:rPr>
      </w:pPr>
      <w:r w:rsidRPr="00CE68EA">
        <w:rPr>
          <w:rFonts w:cstheme="minorHAnsi"/>
        </w:rPr>
        <w:t>202</w:t>
      </w:r>
      <w:r w:rsidR="00B76B88" w:rsidRPr="00CE68EA">
        <w:rPr>
          <w:rFonts w:cstheme="minorHAnsi"/>
        </w:rPr>
        <w:t>5</w:t>
      </w:r>
      <w:r w:rsidRPr="00CE68EA">
        <w:rPr>
          <w:rFonts w:cstheme="minorHAnsi"/>
        </w:rPr>
        <w:t xml:space="preserve">. gada </w:t>
      </w:r>
      <w:r w:rsidR="00B76B88" w:rsidRPr="00CE68EA">
        <w:rPr>
          <w:rFonts w:cstheme="minorHAnsi"/>
        </w:rPr>
        <w:t xml:space="preserve">1.ceturksnī </w:t>
      </w:r>
      <w:r w:rsidRPr="00CE68EA">
        <w:rPr>
          <w:rFonts w:cstheme="minorHAnsi"/>
        </w:rPr>
        <w:t xml:space="preserve">nodrošināti arī maksas veselības aprūpes pakalpojumi – valsts iestāžu pieprasījumi, veselības pārbaudes transportlīdzekļa vadīšanai, veselības pārbaudes stājoties darbā un citi medicīniskie maksas pakalpojumi </w:t>
      </w:r>
      <w:r w:rsidRPr="00CE68EA">
        <w:rPr>
          <w:rFonts w:cstheme="minorHAnsi"/>
          <w:color w:val="000000" w:themeColor="text1"/>
        </w:rPr>
        <w:t xml:space="preserve">– </w:t>
      </w:r>
      <w:r w:rsidR="00B76B88" w:rsidRPr="00CE68EA">
        <w:rPr>
          <w:rFonts w:cstheme="minorHAnsi"/>
          <w:color w:val="000000" w:themeColor="text1"/>
        </w:rPr>
        <w:t>194</w:t>
      </w:r>
      <w:r w:rsidRPr="00CE68EA">
        <w:rPr>
          <w:rFonts w:cstheme="minorHAnsi"/>
          <w:color w:val="000000" w:themeColor="text1"/>
        </w:rPr>
        <w:t xml:space="preserve"> </w:t>
      </w:r>
      <w:r w:rsidRPr="00CE68EA">
        <w:rPr>
          <w:rFonts w:cstheme="minorHAnsi"/>
        </w:rPr>
        <w:t xml:space="preserve">reizes, kas nodrošinājis </w:t>
      </w:r>
      <w:r w:rsidR="00D64716" w:rsidRPr="00CE68EA">
        <w:rPr>
          <w:rFonts w:cstheme="minorHAnsi"/>
        </w:rPr>
        <w:t>8 042</w:t>
      </w:r>
      <w:r w:rsidRPr="00CE68EA">
        <w:rPr>
          <w:rFonts w:cstheme="minorHAnsi"/>
        </w:rPr>
        <w:t xml:space="preserve"> EUR lielus ieņēmumus.</w:t>
      </w:r>
    </w:p>
    <w:p w14:paraId="571361C1" w14:textId="4DC81A5B" w:rsidR="282F2BB0" w:rsidRPr="00CE68EA" w:rsidRDefault="282F2BB0">
      <w:pPr>
        <w:rPr>
          <w:rFonts w:cstheme="minorHAnsi"/>
          <w:color w:val="000000" w:themeColor="text1"/>
        </w:rPr>
      </w:pPr>
      <w:r w:rsidRPr="00CE68EA">
        <w:rPr>
          <w:rFonts w:cstheme="minorHAnsi"/>
          <w:color w:val="000000" w:themeColor="text1"/>
        </w:rPr>
        <w:t>2024. gada nogalē izstrādātajā citu pakalpojumu attīstības plānā ir būtiski paplašināts maksas pakalpojumu klāsts, kas nodrošinās daudzveidīgu pakalpojumu pieejamību.</w:t>
      </w:r>
    </w:p>
    <w:p w14:paraId="071B5B2C" w14:textId="5FF1AAF9" w:rsidR="00A179B3" w:rsidRPr="00CE68EA" w:rsidRDefault="00A179B3" w:rsidP="00A179B3">
      <w:pPr>
        <w:rPr>
          <w:rFonts w:cstheme="minorHAnsi"/>
          <w:color w:val="000000" w:themeColor="text1"/>
        </w:rPr>
      </w:pPr>
      <w:r w:rsidRPr="00CE68EA">
        <w:rPr>
          <w:rFonts w:cstheme="minorHAnsi"/>
          <w:color w:val="000000" w:themeColor="text1"/>
        </w:rPr>
        <w:t>Kopumā naturālie rādītāji norāda, ka Slimnīca 202</w:t>
      </w:r>
      <w:r w:rsidR="00D64716" w:rsidRPr="00CE68EA">
        <w:rPr>
          <w:rFonts w:cstheme="minorHAnsi"/>
          <w:color w:val="000000" w:themeColor="text1"/>
        </w:rPr>
        <w:t>5</w:t>
      </w:r>
      <w:r w:rsidRPr="00CE68EA">
        <w:rPr>
          <w:rFonts w:cstheme="minorHAnsi"/>
          <w:color w:val="000000" w:themeColor="text1"/>
        </w:rPr>
        <w:t>.gadā</w:t>
      </w:r>
      <w:r w:rsidR="00D64716" w:rsidRPr="00CE68EA">
        <w:rPr>
          <w:rFonts w:cstheme="minorHAnsi"/>
          <w:color w:val="000000" w:themeColor="text1"/>
        </w:rPr>
        <w:t xml:space="preserve"> 1.ceturksnī</w:t>
      </w:r>
      <w:r w:rsidRPr="00CE68EA">
        <w:rPr>
          <w:rFonts w:cstheme="minorHAnsi"/>
          <w:color w:val="000000" w:themeColor="text1"/>
        </w:rPr>
        <w:t xml:space="preserve"> darbojās saskaņā ar plānu, nodrošinot efektīvu resursu izmantošanu.</w:t>
      </w:r>
    </w:p>
    <w:p w14:paraId="7BD4BCFC" w14:textId="6B1E8E8F" w:rsidR="00C912BF" w:rsidRPr="00CE68EA" w:rsidRDefault="00C912BF" w:rsidP="00A179B3">
      <w:pPr>
        <w:pStyle w:val="Virsraksts1"/>
        <w:rPr>
          <w:rStyle w:val="Intensvsizclums"/>
          <w:rFonts w:cstheme="minorHAnsi"/>
          <w:b w:val="0"/>
          <w:bCs w:val="0"/>
          <w:caps/>
          <w:color w:val="FFFFFF" w:themeColor="background1"/>
          <w:spacing w:val="15"/>
        </w:rPr>
      </w:pPr>
      <w:r w:rsidRPr="00CE68EA">
        <w:rPr>
          <w:rStyle w:val="Intensvsizclums"/>
          <w:rFonts w:cstheme="minorHAnsi"/>
          <w:b w:val="0"/>
          <w:bCs w:val="0"/>
          <w:caps/>
          <w:color w:val="FFFFFF" w:themeColor="background1"/>
          <w:spacing w:val="15"/>
        </w:rPr>
        <w:lastRenderedPageBreak/>
        <w:t>Finanšu situācija</w:t>
      </w:r>
    </w:p>
    <w:p w14:paraId="5F5C83EE" w14:textId="63BC722D" w:rsidR="00B97204" w:rsidRPr="00CE68EA" w:rsidRDefault="00B97204" w:rsidP="001423F5">
      <w:pPr>
        <w:rPr>
          <w:rFonts w:cstheme="minorHAnsi"/>
        </w:rPr>
      </w:pPr>
      <w:r w:rsidRPr="00CE68EA">
        <w:rPr>
          <w:rFonts w:cstheme="minorHAnsi"/>
        </w:rPr>
        <w:t xml:space="preserve">Ņemot vērā, ka pārskata periods noslēdzies ar zaudējumiem, tas negatīvi ietekmējis finanšu rādītājus, </w:t>
      </w:r>
      <w:r w:rsidR="008F5CC2" w:rsidRPr="009A3ECD">
        <w:rPr>
          <w:rFonts w:cstheme="minorHAnsi"/>
        </w:rPr>
        <w:t>savukārt ietekme bija nebūtiskā</w:t>
      </w:r>
      <w:r w:rsidRPr="009A3ECD">
        <w:rPr>
          <w:rFonts w:cstheme="minorHAnsi"/>
        </w:rPr>
        <w:t>.</w:t>
      </w:r>
      <w:r w:rsidRPr="00CE68EA">
        <w:rPr>
          <w:rFonts w:cstheme="minorHAnsi"/>
        </w:rPr>
        <w:t xml:space="preserve"> </w:t>
      </w:r>
    </w:p>
    <w:p w14:paraId="37BCA584" w14:textId="4B793A67" w:rsidR="001423F5" w:rsidRPr="00CE68EA" w:rsidRDefault="001423F5" w:rsidP="001423F5">
      <w:pPr>
        <w:rPr>
          <w:rFonts w:cstheme="minorHAnsi"/>
        </w:rPr>
      </w:pPr>
      <w:r w:rsidRPr="00CE68EA">
        <w:rPr>
          <w:rFonts w:cstheme="minorHAnsi"/>
        </w:rPr>
        <w:t>Slimnīca 202</w:t>
      </w:r>
      <w:r w:rsidR="006B392E" w:rsidRPr="00CE68EA">
        <w:rPr>
          <w:rFonts w:cstheme="minorHAnsi"/>
        </w:rPr>
        <w:t>5</w:t>
      </w:r>
      <w:r w:rsidRPr="00CE68EA">
        <w:rPr>
          <w:rFonts w:cstheme="minorHAnsi"/>
        </w:rPr>
        <w:t xml:space="preserve">.gadā </w:t>
      </w:r>
      <w:r w:rsidR="006B392E" w:rsidRPr="00CE68EA">
        <w:rPr>
          <w:rFonts w:cstheme="minorHAnsi"/>
        </w:rPr>
        <w:t xml:space="preserve">1.cet. </w:t>
      </w:r>
      <w:r w:rsidRPr="00CE68EA">
        <w:rPr>
          <w:rFonts w:cstheme="minorHAnsi"/>
        </w:rPr>
        <w:t xml:space="preserve">ir saglabājusi finansiālo stabilitāti, savukārt zema rentabilitāte atspoguļo tās darbības specifiku – pakalpojumu nodrošināšanu bez mērķa gūt peļņu. </w:t>
      </w:r>
    </w:p>
    <w:tbl>
      <w:tblPr>
        <w:tblStyle w:val="Reatabula1gaia-izclums2"/>
        <w:tblW w:w="9634" w:type="dxa"/>
        <w:tblLayout w:type="fixed"/>
        <w:tblLook w:val="06A0" w:firstRow="1" w:lastRow="0" w:firstColumn="1" w:lastColumn="0" w:noHBand="1" w:noVBand="1"/>
      </w:tblPr>
      <w:tblGrid>
        <w:gridCol w:w="4248"/>
        <w:gridCol w:w="1795"/>
        <w:gridCol w:w="1795"/>
        <w:gridCol w:w="1796"/>
      </w:tblGrid>
      <w:tr w:rsidR="00B467A6" w:rsidRPr="00CE68EA" w14:paraId="1F357009" w14:textId="77777777" w:rsidTr="007F4A1A">
        <w:trPr>
          <w:cnfStyle w:val="100000000000" w:firstRow="1" w:lastRow="0" w:firstColumn="0" w:lastColumn="0" w:oddVBand="0" w:evenVBand="0" w:oddHBand="0"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4248" w:type="dxa"/>
            <w:hideMark/>
          </w:tcPr>
          <w:p w14:paraId="0EEE78D4" w14:textId="77777777" w:rsidR="00B467A6" w:rsidRPr="00CE68EA" w:rsidRDefault="00B467A6" w:rsidP="001423F5">
            <w:pPr>
              <w:spacing w:before="40" w:after="40"/>
              <w:jc w:val="center"/>
              <w:rPr>
                <w:rFonts w:cstheme="minorHAnsi"/>
                <w:sz w:val="22"/>
                <w:szCs w:val="22"/>
              </w:rPr>
            </w:pPr>
            <w:r w:rsidRPr="00CE68EA">
              <w:rPr>
                <w:rFonts w:cstheme="minorHAnsi"/>
                <w:sz w:val="22"/>
                <w:szCs w:val="22"/>
              </w:rPr>
              <w:t>Rādītāji</w:t>
            </w:r>
          </w:p>
        </w:tc>
        <w:tc>
          <w:tcPr>
            <w:tcW w:w="1795" w:type="dxa"/>
            <w:hideMark/>
          </w:tcPr>
          <w:p w14:paraId="64F117AD" w14:textId="3E586F3A" w:rsidR="00B467A6" w:rsidRPr="00CE68EA" w:rsidRDefault="00D64716" w:rsidP="00D64716">
            <w:pPr>
              <w:spacing w:before="40" w:after="40"/>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CE68EA">
              <w:rPr>
                <w:rFonts w:cstheme="minorHAnsi"/>
                <w:sz w:val="22"/>
                <w:szCs w:val="22"/>
              </w:rPr>
              <w:t>2024. gads</w:t>
            </w:r>
          </w:p>
        </w:tc>
        <w:tc>
          <w:tcPr>
            <w:tcW w:w="1795" w:type="dxa"/>
          </w:tcPr>
          <w:p w14:paraId="102629EF" w14:textId="2FB57529" w:rsidR="00B467A6" w:rsidRPr="00CE68EA" w:rsidRDefault="00B97204" w:rsidP="001423F5">
            <w:pPr>
              <w:spacing w:before="40" w:after="40"/>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CE68EA">
              <w:rPr>
                <w:rFonts w:cstheme="minorHAnsi"/>
                <w:sz w:val="22"/>
                <w:szCs w:val="22"/>
              </w:rPr>
              <w:t>2025</w:t>
            </w:r>
            <w:r w:rsidR="00B467A6" w:rsidRPr="00CE68EA">
              <w:rPr>
                <w:rFonts w:cstheme="minorHAnsi"/>
                <w:sz w:val="22"/>
                <w:szCs w:val="22"/>
              </w:rPr>
              <w:t>. gads</w:t>
            </w:r>
            <w:r w:rsidRPr="00CE68EA">
              <w:rPr>
                <w:rFonts w:cstheme="minorHAnsi"/>
                <w:sz w:val="22"/>
                <w:szCs w:val="22"/>
              </w:rPr>
              <w:t xml:space="preserve"> 1.cet.</w:t>
            </w:r>
          </w:p>
        </w:tc>
        <w:tc>
          <w:tcPr>
            <w:tcW w:w="1796" w:type="dxa"/>
          </w:tcPr>
          <w:p w14:paraId="23236063" w14:textId="64A59F79" w:rsidR="00B467A6" w:rsidRPr="00CE68EA" w:rsidRDefault="00B467A6" w:rsidP="004B1DCB">
            <w:pPr>
              <w:spacing w:before="40" w:after="40"/>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CE68EA">
              <w:rPr>
                <w:rFonts w:cstheme="minorHAnsi"/>
                <w:sz w:val="22"/>
                <w:szCs w:val="22"/>
              </w:rPr>
              <w:t>Novirze pret 2024.gad</w:t>
            </w:r>
            <w:r w:rsidR="004B1DCB" w:rsidRPr="00CE68EA">
              <w:rPr>
                <w:rFonts w:cstheme="minorHAnsi"/>
                <w:sz w:val="22"/>
                <w:szCs w:val="22"/>
              </w:rPr>
              <w:t>u</w:t>
            </w:r>
          </w:p>
        </w:tc>
      </w:tr>
      <w:tr w:rsidR="00B467A6" w:rsidRPr="00CE68EA" w14:paraId="3A328E63" w14:textId="77777777" w:rsidTr="007F4A1A">
        <w:trPr>
          <w:trHeight w:val="213"/>
        </w:trPr>
        <w:tc>
          <w:tcPr>
            <w:cnfStyle w:val="001000000000" w:firstRow="0" w:lastRow="0" w:firstColumn="1" w:lastColumn="0" w:oddVBand="0" w:evenVBand="0" w:oddHBand="0" w:evenHBand="0" w:firstRowFirstColumn="0" w:firstRowLastColumn="0" w:lastRowFirstColumn="0" w:lastRowLastColumn="0"/>
            <w:tcW w:w="4248" w:type="dxa"/>
            <w:hideMark/>
          </w:tcPr>
          <w:p w14:paraId="6017DA57" w14:textId="77777777" w:rsidR="00B467A6" w:rsidRPr="00CE68EA" w:rsidRDefault="00B467A6" w:rsidP="00847992">
            <w:pPr>
              <w:spacing w:before="40" w:after="40"/>
              <w:rPr>
                <w:rFonts w:cstheme="minorHAnsi"/>
                <w:b w:val="0"/>
                <w:bCs w:val="0"/>
                <w:sz w:val="22"/>
                <w:szCs w:val="22"/>
              </w:rPr>
            </w:pPr>
            <w:r w:rsidRPr="00CE68EA">
              <w:rPr>
                <w:rFonts w:cstheme="minorHAnsi"/>
                <w:b w:val="0"/>
                <w:bCs w:val="0"/>
                <w:sz w:val="22"/>
                <w:szCs w:val="22"/>
              </w:rPr>
              <w:t>Kopējais likviditātes rādītājs</w:t>
            </w:r>
          </w:p>
        </w:tc>
        <w:tc>
          <w:tcPr>
            <w:tcW w:w="1795" w:type="dxa"/>
          </w:tcPr>
          <w:p w14:paraId="0E2029FA" w14:textId="7F72165A" w:rsidR="00B467A6" w:rsidRPr="00CE68EA" w:rsidRDefault="00AE6EF2" w:rsidP="00847992">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E68EA">
              <w:rPr>
                <w:rFonts w:cstheme="minorHAnsi"/>
                <w:sz w:val="22"/>
                <w:szCs w:val="22"/>
              </w:rPr>
              <w:t>2,19</w:t>
            </w:r>
          </w:p>
        </w:tc>
        <w:tc>
          <w:tcPr>
            <w:tcW w:w="1795" w:type="dxa"/>
          </w:tcPr>
          <w:p w14:paraId="02F724A8" w14:textId="67F84CF2" w:rsidR="00B467A6" w:rsidRPr="00CE68EA" w:rsidRDefault="00DC33C0" w:rsidP="00847992">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E68EA">
              <w:rPr>
                <w:rFonts w:cstheme="minorHAnsi"/>
                <w:sz w:val="22"/>
                <w:szCs w:val="22"/>
              </w:rPr>
              <w:t>2,08</w:t>
            </w:r>
          </w:p>
        </w:tc>
        <w:tc>
          <w:tcPr>
            <w:tcW w:w="1796" w:type="dxa"/>
          </w:tcPr>
          <w:p w14:paraId="5E45E36C" w14:textId="1D2D17E1" w:rsidR="00B467A6" w:rsidRPr="00CE68EA" w:rsidRDefault="00AE6EF2" w:rsidP="00AE6EF2">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E68EA">
              <w:rPr>
                <w:rFonts w:cstheme="minorHAnsi"/>
                <w:sz w:val="22"/>
                <w:szCs w:val="22"/>
              </w:rPr>
              <w:t>-0,11</w:t>
            </w:r>
          </w:p>
        </w:tc>
      </w:tr>
      <w:tr w:rsidR="00B467A6" w:rsidRPr="00CE68EA" w14:paraId="2B42AC02" w14:textId="77777777" w:rsidTr="007F4A1A">
        <w:trPr>
          <w:trHeight w:val="269"/>
        </w:trPr>
        <w:tc>
          <w:tcPr>
            <w:cnfStyle w:val="001000000000" w:firstRow="0" w:lastRow="0" w:firstColumn="1" w:lastColumn="0" w:oddVBand="0" w:evenVBand="0" w:oddHBand="0" w:evenHBand="0" w:firstRowFirstColumn="0" w:firstRowLastColumn="0" w:lastRowFirstColumn="0" w:lastRowLastColumn="0"/>
            <w:tcW w:w="4248" w:type="dxa"/>
            <w:hideMark/>
          </w:tcPr>
          <w:p w14:paraId="408D48E0" w14:textId="77777777" w:rsidR="00B467A6" w:rsidRPr="00CE68EA" w:rsidRDefault="00B467A6" w:rsidP="00847992">
            <w:pPr>
              <w:spacing w:before="40" w:after="40"/>
              <w:rPr>
                <w:rFonts w:cstheme="minorHAnsi"/>
                <w:b w:val="0"/>
                <w:bCs w:val="0"/>
                <w:sz w:val="22"/>
                <w:szCs w:val="22"/>
              </w:rPr>
            </w:pPr>
            <w:r w:rsidRPr="00CE68EA">
              <w:rPr>
                <w:rFonts w:cstheme="minorHAnsi"/>
                <w:b w:val="0"/>
                <w:bCs w:val="0"/>
                <w:sz w:val="22"/>
                <w:szCs w:val="22"/>
              </w:rPr>
              <w:t>Pašu kapitāla rentabilitāte, ROE, %</w:t>
            </w:r>
          </w:p>
        </w:tc>
        <w:tc>
          <w:tcPr>
            <w:tcW w:w="1795" w:type="dxa"/>
          </w:tcPr>
          <w:p w14:paraId="07319C36" w14:textId="1467475B" w:rsidR="00B467A6" w:rsidRPr="00CE68EA" w:rsidRDefault="00AE6EF2" w:rsidP="00847992">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E68EA">
              <w:rPr>
                <w:rFonts w:cstheme="minorHAnsi"/>
                <w:sz w:val="22"/>
                <w:szCs w:val="22"/>
              </w:rPr>
              <w:t>0,41</w:t>
            </w:r>
          </w:p>
        </w:tc>
        <w:tc>
          <w:tcPr>
            <w:tcW w:w="1795" w:type="dxa"/>
          </w:tcPr>
          <w:p w14:paraId="15426723" w14:textId="3E8A82F3" w:rsidR="00B467A6" w:rsidRPr="00CE68EA" w:rsidRDefault="00DC33C0" w:rsidP="00847992">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E68EA">
              <w:rPr>
                <w:rFonts w:cstheme="minorHAnsi"/>
                <w:sz w:val="22"/>
                <w:szCs w:val="22"/>
              </w:rPr>
              <w:t>-0,75</w:t>
            </w:r>
          </w:p>
        </w:tc>
        <w:tc>
          <w:tcPr>
            <w:tcW w:w="1796" w:type="dxa"/>
          </w:tcPr>
          <w:p w14:paraId="2F7B60F0" w14:textId="6F9DBFBE" w:rsidR="00B467A6" w:rsidRPr="00CE68EA" w:rsidRDefault="00AE6EF2" w:rsidP="00DC33C0">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E68EA">
              <w:rPr>
                <w:rFonts w:cstheme="minorHAnsi"/>
                <w:sz w:val="22"/>
                <w:szCs w:val="22"/>
              </w:rPr>
              <w:t>-1,16</w:t>
            </w:r>
          </w:p>
        </w:tc>
      </w:tr>
      <w:tr w:rsidR="00B467A6" w:rsidRPr="00CE68EA" w14:paraId="0B1979C2" w14:textId="77777777" w:rsidTr="007F4A1A">
        <w:trPr>
          <w:trHeight w:val="273"/>
        </w:trPr>
        <w:tc>
          <w:tcPr>
            <w:cnfStyle w:val="001000000000" w:firstRow="0" w:lastRow="0" w:firstColumn="1" w:lastColumn="0" w:oddVBand="0" w:evenVBand="0" w:oddHBand="0" w:evenHBand="0" w:firstRowFirstColumn="0" w:firstRowLastColumn="0" w:lastRowFirstColumn="0" w:lastRowLastColumn="0"/>
            <w:tcW w:w="4248" w:type="dxa"/>
            <w:hideMark/>
          </w:tcPr>
          <w:p w14:paraId="37CD93E1" w14:textId="77777777" w:rsidR="00B467A6" w:rsidRPr="00CE68EA" w:rsidRDefault="00B467A6" w:rsidP="00847992">
            <w:pPr>
              <w:spacing w:before="40" w:after="40"/>
              <w:rPr>
                <w:rFonts w:cstheme="minorHAnsi"/>
                <w:b w:val="0"/>
                <w:bCs w:val="0"/>
                <w:sz w:val="22"/>
                <w:szCs w:val="22"/>
              </w:rPr>
            </w:pPr>
            <w:r w:rsidRPr="00CE68EA">
              <w:rPr>
                <w:rFonts w:cstheme="minorHAnsi"/>
                <w:b w:val="0"/>
                <w:bCs w:val="0"/>
                <w:sz w:val="22"/>
                <w:szCs w:val="22"/>
              </w:rPr>
              <w:t>Aktīvu rentabilitāte, ROA, %</w:t>
            </w:r>
          </w:p>
        </w:tc>
        <w:tc>
          <w:tcPr>
            <w:tcW w:w="1795" w:type="dxa"/>
          </w:tcPr>
          <w:p w14:paraId="64AEFFB2" w14:textId="7C814791" w:rsidR="00B467A6" w:rsidRPr="00CE68EA" w:rsidRDefault="00AE6EF2" w:rsidP="00847992">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E68EA">
              <w:rPr>
                <w:rFonts w:cstheme="minorHAnsi"/>
                <w:sz w:val="22"/>
                <w:szCs w:val="22"/>
              </w:rPr>
              <w:t>0,33</w:t>
            </w:r>
          </w:p>
        </w:tc>
        <w:tc>
          <w:tcPr>
            <w:tcW w:w="1795" w:type="dxa"/>
          </w:tcPr>
          <w:p w14:paraId="28942B27" w14:textId="7C3C97EA" w:rsidR="00B467A6" w:rsidRPr="00CE68EA" w:rsidRDefault="00DC33C0" w:rsidP="00847992">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E68EA">
              <w:rPr>
                <w:rFonts w:cstheme="minorHAnsi"/>
                <w:sz w:val="22"/>
                <w:szCs w:val="22"/>
              </w:rPr>
              <w:t>-0,6</w:t>
            </w:r>
          </w:p>
        </w:tc>
        <w:tc>
          <w:tcPr>
            <w:tcW w:w="1796" w:type="dxa"/>
          </w:tcPr>
          <w:p w14:paraId="574848B0" w14:textId="25D01579" w:rsidR="00B467A6" w:rsidRPr="00CE68EA" w:rsidRDefault="00AE6EF2" w:rsidP="00DC33C0">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E68EA">
              <w:rPr>
                <w:rFonts w:cstheme="minorHAnsi"/>
                <w:sz w:val="22"/>
                <w:szCs w:val="22"/>
              </w:rPr>
              <w:t>-0,93</w:t>
            </w:r>
          </w:p>
        </w:tc>
      </w:tr>
      <w:tr w:rsidR="00B467A6" w:rsidRPr="00CE68EA" w14:paraId="32088A22" w14:textId="77777777" w:rsidTr="007F4A1A">
        <w:trPr>
          <w:trHeight w:val="263"/>
        </w:trPr>
        <w:tc>
          <w:tcPr>
            <w:cnfStyle w:val="001000000000" w:firstRow="0" w:lastRow="0" w:firstColumn="1" w:lastColumn="0" w:oddVBand="0" w:evenVBand="0" w:oddHBand="0" w:evenHBand="0" w:firstRowFirstColumn="0" w:firstRowLastColumn="0" w:lastRowFirstColumn="0" w:lastRowLastColumn="0"/>
            <w:tcW w:w="4248" w:type="dxa"/>
            <w:hideMark/>
          </w:tcPr>
          <w:p w14:paraId="6B60B794" w14:textId="77777777" w:rsidR="00B467A6" w:rsidRPr="00CE68EA" w:rsidRDefault="00B467A6" w:rsidP="00847992">
            <w:pPr>
              <w:spacing w:before="40" w:after="40"/>
              <w:rPr>
                <w:rFonts w:cstheme="minorHAnsi"/>
                <w:b w:val="0"/>
                <w:bCs w:val="0"/>
                <w:sz w:val="22"/>
                <w:szCs w:val="22"/>
              </w:rPr>
            </w:pPr>
            <w:r w:rsidRPr="00CE68EA">
              <w:rPr>
                <w:rFonts w:cstheme="minorHAnsi"/>
                <w:b w:val="0"/>
                <w:bCs w:val="0"/>
                <w:sz w:val="22"/>
                <w:szCs w:val="22"/>
              </w:rPr>
              <w:t>Bruto peļņas rentabilitāte, %</w:t>
            </w:r>
          </w:p>
        </w:tc>
        <w:tc>
          <w:tcPr>
            <w:tcW w:w="1795" w:type="dxa"/>
          </w:tcPr>
          <w:p w14:paraId="786F9A21" w14:textId="2782281D" w:rsidR="00B467A6" w:rsidRPr="00CE68EA" w:rsidRDefault="00AE6EF2" w:rsidP="00847992">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E68EA">
              <w:rPr>
                <w:rFonts w:cstheme="minorHAnsi"/>
                <w:sz w:val="22"/>
                <w:szCs w:val="22"/>
              </w:rPr>
              <w:t>2,81</w:t>
            </w:r>
          </w:p>
        </w:tc>
        <w:tc>
          <w:tcPr>
            <w:tcW w:w="1795" w:type="dxa"/>
          </w:tcPr>
          <w:p w14:paraId="6C78DD72" w14:textId="58D0217C" w:rsidR="00B467A6" w:rsidRPr="00CE68EA" w:rsidRDefault="00DC33C0" w:rsidP="00847992">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E68EA">
              <w:rPr>
                <w:rFonts w:cstheme="minorHAnsi"/>
                <w:sz w:val="22"/>
                <w:szCs w:val="22"/>
              </w:rPr>
              <w:t>1,41</w:t>
            </w:r>
          </w:p>
        </w:tc>
        <w:tc>
          <w:tcPr>
            <w:tcW w:w="1796" w:type="dxa"/>
          </w:tcPr>
          <w:p w14:paraId="73D4492F" w14:textId="61AF5B3C" w:rsidR="00B467A6" w:rsidRPr="00CE68EA" w:rsidRDefault="00AE6EF2" w:rsidP="00847992">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E68EA">
              <w:rPr>
                <w:rFonts w:cstheme="minorHAnsi"/>
                <w:sz w:val="22"/>
                <w:szCs w:val="22"/>
              </w:rPr>
              <w:t>-1,40</w:t>
            </w:r>
          </w:p>
        </w:tc>
      </w:tr>
      <w:tr w:rsidR="00B467A6" w:rsidRPr="00CE68EA" w14:paraId="665F13C6" w14:textId="77777777" w:rsidTr="007F4A1A">
        <w:trPr>
          <w:trHeight w:val="269"/>
        </w:trPr>
        <w:tc>
          <w:tcPr>
            <w:cnfStyle w:val="001000000000" w:firstRow="0" w:lastRow="0" w:firstColumn="1" w:lastColumn="0" w:oddVBand="0" w:evenVBand="0" w:oddHBand="0" w:evenHBand="0" w:firstRowFirstColumn="0" w:firstRowLastColumn="0" w:lastRowFirstColumn="0" w:lastRowLastColumn="0"/>
            <w:tcW w:w="4248" w:type="dxa"/>
            <w:hideMark/>
          </w:tcPr>
          <w:p w14:paraId="0CA81026" w14:textId="77777777" w:rsidR="00B467A6" w:rsidRPr="00CE68EA" w:rsidRDefault="00B467A6" w:rsidP="00847992">
            <w:pPr>
              <w:spacing w:before="40" w:after="40"/>
              <w:rPr>
                <w:rFonts w:cstheme="minorHAnsi"/>
                <w:b w:val="0"/>
                <w:bCs w:val="0"/>
                <w:sz w:val="22"/>
                <w:szCs w:val="22"/>
              </w:rPr>
            </w:pPr>
            <w:r w:rsidRPr="00CE68EA">
              <w:rPr>
                <w:rFonts w:cstheme="minorHAnsi"/>
                <w:b w:val="0"/>
                <w:bCs w:val="0"/>
                <w:sz w:val="22"/>
                <w:szCs w:val="22"/>
              </w:rPr>
              <w:t>Neto peļņas rentabilitāte, %</w:t>
            </w:r>
          </w:p>
        </w:tc>
        <w:tc>
          <w:tcPr>
            <w:tcW w:w="1795" w:type="dxa"/>
          </w:tcPr>
          <w:p w14:paraId="26803475" w14:textId="4DB632EB" w:rsidR="00B467A6" w:rsidRPr="00CE68EA" w:rsidRDefault="00AE6EF2" w:rsidP="00847992">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E68EA">
              <w:rPr>
                <w:rFonts w:cstheme="minorHAnsi"/>
                <w:sz w:val="22"/>
                <w:szCs w:val="22"/>
              </w:rPr>
              <w:t>0,60</w:t>
            </w:r>
          </w:p>
        </w:tc>
        <w:tc>
          <w:tcPr>
            <w:tcW w:w="1795" w:type="dxa"/>
          </w:tcPr>
          <w:p w14:paraId="1F693E41" w14:textId="5E7D79B9" w:rsidR="00B467A6" w:rsidRPr="00CE68EA" w:rsidRDefault="00DC33C0" w:rsidP="00847992">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E68EA">
              <w:rPr>
                <w:rFonts w:cstheme="minorHAnsi"/>
                <w:sz w:val="22"/>
                <w:szCs w:val="22"/>
              </w:rPr>
              <w:t>-4,18</w:t>
            </w:r>
          </w:p>
        </w:tc>
        <w:tc>
          <w:tcPr>
            <w:tcW w:w="1796" w:type="dxa"/>
          </w:tcPr>
          <w:p w14:paraId="2385FD9C" w14:textId="39C66BD5" w:rsidR="00B467A6" w:rsidRPr="00CE68EA" w:rsidRDefault="00AE6EF2" w:rsidP="00847992">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E68EA">
              <w:rPr>
                <w:rFonts w:cstheme="minorHAnsi"/>
                <w:sz w:val="22"/>
                <w:szCs w:val="22"/>
              </w:rPr>
              <w:t>-4,78</w:t>
            </w:r>
          </w:p>
        </w:tc>
      </w:tr>
      <w:tr w:rsidR="00B467A6" w:rsidRPr="00CE68EA" w14:paraId="03AB26EF" w14:textId="77777777" w:rsidTr="007F4A1A">
        <w:trPr>
          <w:trHeight w:val="284"/>
        </w:trPr>
        <w:tc>
          <w:tcPr>
            <w:cnfStyle w:val="001000000000" w:firstRow="0" w:lastRow="0" w:firstColumn="1" w:lastColumn="0" w:oddVBand="0" w:evenVBand="0" w:oddHBand="0" w:evenHBand="0" w:firstRowFirstColumn="0" w:firstRowLastColumn="0" w:lastRowFirstColumn="0" w:lastRowLastColumn="0"/>
            <w:tcW w:w="4248" w:type="dxa"/>
            <w:hideMark/>
          </w:tcPr>
          <w:p w14:paraId="6886856B" w14:textId="77777777" w:rsidR="00B467A6" w:rsidRPr="00CE68EA" w:rsidRDefault="00B467A6" w:rsidP="00847992">
            <w:pPr>
              <w:spacing w:before="40" w:after="40"/>
              <w:rPr>
                <w:rFonts w:cstheme="minorHAnsi"/>
                <w:b w:val="0"/>
                <w:bCs w:val="0"/>
                <w:sz w:val="22"/>
                <w:szCs w:val="22"/>
              </w:rPr>
            </w:pPr>
            <w:r w:rsidRPr="00CE68EA">
              <w:rPr>
                <w:rFonts w:cstheme="minorHAnsi"/>
                <w:b w:val="0"/>
                <w:bCs w:val="0"/>
                <w:sz w:val="22"/>
                <w:szCs w:val="22"/>
              </w:rPr>
              <w:t>EBIDTA rentabilitāte, %</w:t>
            </w:r>
          </w:p>
        </w:tc>
        <w:tc>
          <w:tcPr>
            <w:tcW w:w="1795" w:type="dxa"/>
          </w:tcPr>
          <w:p w14:paraId="0BB948B2" w14:textId="61CC3E95" w:rsidR="00B467A6" w:rsidRPr="00CE68EA" w:rsidRDefault="00AE6EF2" w:rsidP="00847992">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E68EA">
              <w:rPr>
                <w:rFonts w:cstheme="minorHAnsi"/>
                <w:sz w:val="22"/>
                <w:szCs w:val="22"/>
              </w:rPr>
              <w:t>6,00</w:t>
            </w:r>
          </w:p>
        </w:tc>
        <w:tc>
          <w:tcPr>
            <w:tcW w:w="1795" w:type="dxa"/>
          </w:tcPr>
          <w:p w14:paraId="5E267A94" w14:textId="5E3CDF84" w:rsidR="00B467A6" w:rsidRPr="00CE68EA" w:rsidRDefault="00DC33C0" w:rsidP="00847992">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E68EA">
              <w:rPr>
                <w:rFonts w:cstheme="minorHAnsi"/>
                <w:sz w:val="22"/>
                <w:szCs w:val="22"/>
              </w:rPr>
              <w:t>0,92</w:t>
            </w:r>
          </w:p>
        </w:tc>
        <w:tc>
          <w:tcPr>
            <w:tcW w:w="1796" w:type="dxa"/>
          </w:tcPr>
          <w:p w14:paraId="05395629" w14:textId="1FEDDBA7" w:rsidR="00B467A6" w:rsidRPr="00CE68EA" w:rsidRDefault="004B1DCB" w:rsidP="00847992">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E68EA">
              <w:rPr>
                <w:rFonts w:cstheme="minorHAnsi"/>
                <w:sz w:val="22"/>
                <w:szCs w:val="22"/>
              </w:rPr>
              <w:t>-5,08</w:t>
            </w:r>
          </w:p>
        </w:tc>
      </w:tr>
      <w:tr w:rsidR="00B467A6" w:rsidRPr="00CE68EA" w14:paraId="3B073147" w14:textId="77777777" w:rsidTr="007F4A1A">
        <w:trPr>
          <w:trHeight w:val="275"/>
        </w:trPr>
        <w:tc>
          <w:tcPr>
            <w:cnfStyle w:val="001000000000" w:firstRow="0" w:lastRow="0" w:firstColumn="1" w:lastColumn="0" w:oddVBand="0" w:evenVBand="0" w:oddHBand="0" w:evenHBand="0" w:firstRowFirstColumn="0" w:firstRowLastColumn="0" w:lastRowFirstColumn="0" w:lastRowLastColumn="0"/>
            <w:tcW w:w="4248" w:type="dxa"/>
          </w:tcPr>
          <w:p w14:paraId="58014F9A" w14:textId="77777777" w:rsidR="00B467A6" w:rsidRPr="00CE68EA" w:rsidRDefault="00B467A6" w:rsidP="00847992">
            <w:pPr>
              <w:spacing w:before="40" w:after="40"/>
              <w:rPr>
                <w:rFonts w:cstheme="minorHAnsi"/>
                <w:b w:val="0"/>
                <w:bCs w:val="0"/>
                <w:sz w:val="22"/>
                <w:szCs w:val="22"/>
              </w:rPr>
            </w:pPr>
            <w:r w:rsidRPr="00CE68EA">
              <w:rPr>
                <w:rFonts w:cstheme="minorHAnsi"/>
                <w:b w:val="0"/>
                <w:bCs w:val="0"/>
                <w:sz w:val="22"/>
                <w:szCs w:val="22"/>
              </w:rPr>
              <w:t>Saistību īpatsvars bilancē, %</w:t>
            </w:r>
          </w:p>
        </w:tc>
        <w:tc>
          <w:tcPr>
            <w:tcW w:w="1795" w:type="dxa"/>
          </w:tcPr>
          <w:p w14:paraId="4557AA4D" w14:textId="1BC773E7" w:rsidR="00B467A6" w:rsidRPr="00CE68EA" w:rsidRDefault="00AE6EF2" w:rsidP="00847992">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E68EA">
              <w:rPr>
                <w:rFonts w:cstheme="minorHAnsi"/>
                <w:sz w:val="22"/>
                <w:szCs w:val="22"/>
              </w:rPr>
              <w:t>21,00</w:t>
            </w:r>
          </w:p>
        </w:tc>
        <w:tc>
          <w:tcPr>
            <w:tcW w:w="1795" w:type="dxa"/>
          </w:tcPr>
          <w:p w14:paraId="4F2D2044" w14:textId="07279AFF" w:rsidR="00B467A6" w:rsidRPr="00CE68EA" w:rsidRDefault="00DC33C0" w:rsidP="00847992">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E68EA">
              <w:rPr>
                <w:rFonts w:cstheme="minorHAnsi"/>
                <w:sz w:val="22"/>
                <w:szCs w:val="22"/>
              </w:rPr>
              <w:t>20,00</w:t>
            </w:r>
          </w:p>
        </w:tc>
        <w:tc>
          <w:tcPr>
            <w:tcW w:w="1796" w:type="dxa"/>
          </w:tcPr>
          <w:p w14:paraId="113BB7CF" w14:textId="304E6EA7" w:rsidR="004B1DCB" w:rsidRPr="00CE68EA" w:rsidRDefault="004B1DCB" w:rsidP="004B1DCB">
            <w:pPr>
              <w:spacing w:before="40" w:after="40"/>
              <w:jc w:val="cente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CE68EA">
              <w:rPr>
                <w:rFonts w:cstheme="minorHAnsi"/>
                <w:sz w:val="22"/>
                <w:szCs w:val="22"/>
              </w:rPr>
              <w:t>-1,00</w:t>
            </w:r>
          </w:p>
        </w:tc>
      </w:tr>
    </w:tbl>
    <w:p w14:paraId="24AF2E4A" w14:textId="46D3396A" w:rsidR="00B467A6" w:rsidRPr="009A3ECD" w:rsidRDefault="00B467A6" w:rsidP="00B467A6">
      <w:pPr>
        <w:rPr>
          <w:rFonts w:cstheme="minorHAnsi"/>
        </w:rPr>
      </w:pPr>
      <w:r w:rsidRPr="009A3ECD">
        <w:rPr>
          <w:rFonts w:cstheme="minorHAnsi"/>
        </w:rPr>
        <w:t xml:space="preserve">Rentabilitātes kritums (ROE, ROA, bruto un neto peļņas rentabilitāte) norāda, ka </w:t>
      </w:r>
      <w:r w:rsidR="001423F5" w:rsidRPr="009A3ECD">
        <w:rPr>
          <w:rFonts w:cstheme="minorHAnsi"/>
        </w:rPr>
        <w:t>S</w:t>
      </w:r>
      <w:r w:rsidRPr="009A3ECD">
        <w:rPr>
          <w:rFonts w:cstheme="minorHAnsi"/>
        </w:rPr>
        <w:t>limnīca</w:t>
      </w:r>
      <w:r w:rsidR="001423F5" w:rsidRPr="009A3ECD">
        <w:rPr>
          <w:rFonts w:cstheme="minorHAnsi"/>
        </w:rPr>
        <w:t xml:space="preserve"> nodrošināja veselības aprūpes pakalpojumu sniegšanu pēc pašizmaksas, kas atbilst valsts apmaksāto pakalpojumu sniegšanas principiem.</w:t>
      </w:r>
    </w:p>
    <w:p w14:paraId="7363AB3E" w14:textId="33966C7A" w:rsidR="00B467A6" w:rsidRPr="009A3ECD" w:rsidRDefault="00B467A6" w:rsidP="00B467A6">
      <w:pPr>
        <w:rPr>
          <w:rFonts w:cstheme="minorHAnsi"/>
        </w:rPr>
      </w:pPr>
      <w:r w:rsidRPr="009A3ECD">
        <w:rPr>
          <w:rFonts w:cstheme="minorHAnsi"/>
        </w:rPr>
        <w:t xml:space="preserve">EBITDA rentabilitātes samazinājums </w:t>
      </w:r>
      <w:r w:rsidR="001423F5" w:rsidRPr="009A3ECD">
        <w:rPr>
          <w:rFonts w:cstheme="minorHAnsi"/>
        </w:rPr>
        <w:t xml:space="preserve">norāda </w:t>
      </w:r>
      <w:r w:rsidRPr="009A3ECD">
        <w:rPr>
          <w:rFonts w:cstheme="minorHAnsi"/>
        </w:rPr>
        <w:t xml:space="preserve">uz pieaugošām ekspluatācijas izmaksām, </w:t>
      </w:r>
      <w:r w:rsidR="001423F5" w:rsidRPr="009A3ECD">
        <w:rPr>
          <w:rFonts w:cstheme="minorHAnsi"/>
        </w:rPr>
        <w:t xml:space="preserve">kas </w:t>
      </w:r>
      <w:r w:rsidR="002D7425" w:rsidRPr="009A3ECD">
        <w:rPr>
          <w:rFonts w:cstheme="minorHAnsi"/>
        </w:rPr>
        <w:t>lielā mērā</w:t>
      </w:r>
      <w:r w:rsidR="001423F5" w:rsidRPr="009A3ECD">
        <w:rPr>
          <w:rFonts w:cstheme="minorHAnsi"/>
        </w:rPr>
        <w:t xml:space="preserve"> saistīts ar </w:t>
      </w:r>
      <w:r w:rsidR="00052B2B" w:rsidRPr="009A3ECD">
        <w:rPr>
          <w:rFonts w:cstheme="minorHAnsi"/>
        </w:rPr>
        <w:t>narkoloģijas profila pakalpojumu ieviešanu</w:t>
      </w:r>
      <w:r w:rsidRPr="009A3ECD">
        <w:rPr>
          <w:rFonts w:cstheme="minorHAnsi"/>
        </w:rPr>
        <w:t>.</w:t>
      </w:r>
      <w:r w:rsidR="002D7425" w:rsidRPr="009A3ECD">
        <w:rPr>
          <w:rFonts w:cstheme="minorHAnsi"/>
        </w:rPr>
        <w:t xml:space="preserve"> </w:t>
      </w:r>
      <w:r w:rsidRPr="009A3ECD">
        <w:rPr>
          <w:rFonts w:cstheme="minorHAnsi"/>
        </w:rPr>
        <w:t>Likviditātes neliels samazinājums nav būtisks un norāda uz stabilu spēju segt īstermiņa saistības.</w:t>
      </w:r>
    </w:p>
    <w:p w14:paraId="53F81675" w14:textId="0E480380" w:rsidR="00FB7031" w:rsidRPr="00CE68EA" w:rsidRDefault="002D7425" w:rsidP="00AA77E9">
      <w:pPr>
        <w:pStyle w:val="Virsraksts2"/>
        <w:rPr>
          <w:rFonts w:cstheme="minorHAnsi"/>
        </w:rPr>
      </w:pPr>
      <w:r w:rsidRPr="00CE68EA">
        <w:rPr>
          <w:rFonts w:cstheme="minorHAnsi"/>
        </w:rPr>
        <w:t xml:space="preserve">Ieņēmumi un izdevumi, </w:t>
      </w:r>
      <w:r w:rsidR="00AA77E9" w:rsidRPr="00CE68EA">
        <w:rPr>
          <w:rFonts w:cstheme="minorHAnsi"/>
        </w:rPr>
        <w:t>darbības rezultāts</w:t>
      </w:r>
    </w:p>
    <w:p w14:paraId="2B6311B3" w14:textId="64B2DCF3" w:rsidR="00C912BF" w:rsidRPr="00CE68EA" w:rsidRDefault="00C912BF" w:rsidP="00131E43">
      <w:pPr>
        <w:rPr>
          <w:rFonts w:cstheme="minorHAnsi"/>
        </w:rPr>
      </w:pPr>
      <w:r w:rsidRPr="00CE68EA">
        <w:rPr>
          <w:rFonts w:cstheme="minorHAnsi"/>
        </w:rPr>
        <w:t>Slimnīcas ienākum</w:t>
      </w:r>
      <w:r w:rsidR="00F50B00" w:rsidRPr="00CE68EA">
        <w:rPr>
          <w:rFonts w:cstheme="minorHAnsi"/>
        </w:rPr>
        <w:t>us</w:t>
      </w:r>
      <w:r w:rsidRPr="00CE68EA">
        <w:rPr>
          <w:rFonts w:cstheme="minorHAnsi"/>
        </w:rPr>
        <w:t xml:space="preserve"> 202</w:t>
      </w:r>
      <w:r w:rsidR="004B1DCB" w:rsidRPr="00CE68EA">
        <w:rPr>
          <w:rFonts w:cstheme="minorHAnsi"/>
        </w:rPr>
        <w:t>5</w:t>
      </w:r>
      <w:r w:rsidRPr="00CE68EA">
        <w:rPr>
          <w:rFonts w:cstheme="minorHAnsi"/>
        </w:rPr>
        <w:t xml:space="preserve">. gadā </w:t>
      </w:r>
      <w:r w:rsidR="004B1DCB" w:rsidRPr="00CE68EA">
        <w:rPr>
          <w:rFonts w:cstheme="minorHAnsi"/>
        </w:rPr>
        <w:t>3 mēnešos</w:t>
      </w:r>
      <w:r w:rsidR="00E83EF4" w:rsidRPr="00CE68EA">
        <w:rPr>
          <w:rFonts w:cstheme="minorHAnsi"/>
        </w:rPr>
        <w:t>,</w:t>
      </w:r>
      <w:r w:rsidR="004B1DCB" w:rsidRPr="00CE68EA">
        <w:rPr>
          <w:rFonts w:cstheme="minorHAnsi"/>
        </w:rPr>
        <w:t xml:space="preserve"> </w:t>
      </w:r>
      <w:r w:rsidRPr="00CE68EA">
        <w:rPr>
          <w:rFonts w:cstheme="minorHAnsi"/>
        </w:rPr>
        <w:t>tāpat kā iepriekš</w:t>
      </w:r>
      <w:r w:rsidR="00E83EF4" w:rsidRPr="00CE68EA">
        <w:rPr>
          <w:rFonts w:cstheme="minorHAnsi"/>
        </w:rPr>
        <w:t>,</w:t>
      </w:r>
      <w:r w:rsidRPr="00CE68EA">
        <w:rPr>
          <w:rFonts w:cstheme="minorHAnsi"/>
        </w:rPr>
        <w:t xml:space="preserve"> </w:t>
      </w:r>
      <w:r w:rsidR="00F50B00" w:rsidRPr="00CE68EA">
        <w:rPr>
          <w:rFonts w:cstheme="minorHAnsi"/>
        </w:rPr>
        <w:t>veido</w:t>
      </w:r>
      <w:r w:rsidRPr="00CE68EA">
        <w:rPr>
          <w:rFonts w:cstheme="minorHAnsi"/>
        </w:rPr>
        <w:t xml:space="preserve"> samaksa par valsts apmaksāto stacionāro un ambulatoro veselības aprūpes pakalpojumu sniegšanu iedzīvotājiem saskaņā ar līgumiem, kas noslēgti ar Nacionālo veselības dienestu, un Slimnīcas sniegtajiem maksas pakalpojumiem atbilstoši apstiprinātajām maksas pakalpojumu cenrādim</w:t>
      </w:r>
      <w:r w:rsidR="00F50B00" w:rsidRPr="00CE68EA">
        <w:rPr>
          <w:rFonts w:cstheme="minorHAnsi"/>
        </w:rPr>
        <w:t>, kā arī</w:t>
      </w:r>
      <w:r w:rsidRPr="00CE68EA">
        <w:rPr>
          <w:rFonts w:cstheme="minorHAnsi"/>
        </w:rPr>
        <w:t xml:space="preserve"> citiem ienākumiem. Veselības aprūpes pakalpojumu ieņēmumi sastāda 94.</w:t>
      </w:r>
      <w:r w:rsidR="006B392E" w:rsidRPr="00CE68EA">
        <w:rPr>
          <w:rFonts w:cstheme="minorHAnsi"/>
        </w:rPr>
        <w:t>94</w:t>
      </w:r>
      <w:r w:rsidRPr="00CE68EA">
        <w:rPr>
          <w:rFonts w:cstheme="minorHAnsi"/>
        </w:rPr>
        <w:t>%</w:t>
      </w:r>
      <w:r w:rsidR="00F50B00" w:rsidRPr="00CE68EA">
        <w:rPr>
          <w:rFonts w:cstheme="minorHAnsi"/>
        </w:rPr>
        <w:t xml:space="preserve"> </w:t>
      </w:r>
      <w:r w:rsidRPr="00CE68EA">
        <w:rPr>
          <w:rFonts w:cstheme="minorHAnsi"/>
        </w:rPr>
        <w:t>no kopējiem Slimnīcas ieņēmumiem.</w:t>
      </w:r>
    </w:p>
    <w:p w14:paraId="2DF8CDFF" w14:textId="54F4B622" w:rsidR="0023746B" w:rsidRPr="00CE68EA" w:rsidRDefault="0023746B" w:rsidP="00131E43">
      <w:pPr>
        <w:rPr>
          <w:rFonts w:cstheme="minorHAnsi"/>
        </w:rPr>
      </w:pPr>
      <w:r w:rsidRPr="00CE68EA">
        <w:rPr>
          <w:rFonts w:cstheme="minorHAnsi"/>
        </w:rPr>
        <w:t>Finanšu rādītāju salīdzinājums ar 202</w:t>
      </w:r>
      <w:r w:rsidR="007B3B58" w:rsidRPr="00CE68EA">
        <w:rPr>
          <w:rFonts w:cstheme="minorHAnsi"/>
        </w:rPr>
        <w:t>4</w:t>
      </w:r>
      <w:r w:rsidRPr="00CE68EA">
        <w:rPr>
          <w:rFonts w:cstheme="minorHAnsi"/>
        </w:rPr>
        <w:t>.gada izpildi un 202</w:t>
      </w:r>
      <w:r w:rsidR="007B3B58" w:rsidRPr="00CE68EA">
        <w:rPr>
          <w:rFonts w:cstheme="minorHAnsi"/>
        </w:rPr>
        <w:t>5</w:t>
      </w:r>
      <w:r w:rsidRPr="00CE68EA">
        <w:rPr>
          <w:rFonts w:cstheme="minorHAnsi"/>
        </w:rPr>
        <w:t xml:space="preserve">.gada </w:t>
      </w:r>
      <w:r w:rsidR="00C4798F" w:rsidRPr="00CE68EA">
        <w:rPr>
          <w:rFonts w:cstheme="minorHAnsi"/>
        </w:rPr>
        <w:t xml:space="preserve">3. mēnešiem </w:t>
      </w:r>
      <w:r w:rsidRPr="00CE68EA">
        <w:rPr>
          <w:rFonts w:cstheme="minorHAnsi"/>
        </w:rPr>
        <w:t>plānu:</w:t>
      </w:r>
    </w:p>
    <w:tbl>
      <w:tblPr>
        <w:tblStyle w:val="Reatabula1gaia-izclums2"/>
        <w:tblW w:w="9918" w:type="dxa"/>
        <w:tblLook w:val="0420" w:firstRow="1" w:lastRow="0" w:firstColumn="0" w:lastColumn="0" w:noHBand="0" w:noVBand="1"/>
      </w:tblPr>
      <w:tblGrid>
        <w:gridCol w:w="1975"/>
        <w:gridCol w:w="1140"/>
        <w:gridCol w:w="1140"/>
        <w:gridCol w:w="1140"/>
        <w:gridCol w:w="1116"/>
        <w:gridCol w:w="1209"/>
        <w:gridCol w:w="1090"/>
        <w:gridCol w:w="1111"/>
      </w:tblGrid>
      <w:tr w:rsidR="007F4A1A" w:rsidRPr="00CE68EA" w14:paraId="713C8553" w14:textId="77777777" w:rsidTr="002E2718">
        <w:trPr>
          <w:cnfStyle w:val="100000000000" w:firstRow="1" w:lastRow="0" w:firstColumn="0" w:lastColumn="0" w:oddVBand="0" w:evenVBand="0" w:oddHBand="0" w:evenHBand="0" w:firstRowFirstColumn="0" w:firstRowLastColumn="0" w:lastRowFirstColumn="0" w:lastRowLastColumn="0"/>
          <w:trHeight w:val="510"/>
          <w:tblHeader/>
        </w:trPr>
        <w:tc>
          <w:tcPr>
            <w:tcW w:w="1975" w:type="dxa"/>
            <w:vMerge w:val="restart"/>
            <w:hideMark/>
          </w:tcPr>
          <w:p w14:paraId="4A209742" w14:textId="77777777" w:rsidR="00AA77E9" w:rsidRPr="00CE68EA" w:rsidRDefault="00AA77E9" w:rsidP="00DD6EFE">
            <w:pPr>
              <w:spacing w:before="0"/>
              <w:jc w:val="center"/>
              <w:rPr>
                <w:rFonts w:eastAsia="Times New Roman" w:cstheme="minorHAnsi"/>
                <w:b w:val="0"/>
                <w:bCs w:val="0"/>
                <w:sz w:val="22"/>
                <w:szCs w:val="22"/>
                <w:lang w:eastAsia="lv-LV"/>
              </w:rPr>
            </w:pPr>
            <w:r w:rsidRPr="00CE68EA">
              <w:rPr>
                <w:rFonts w:eastAsia="Times New Roman" w:cstheme="minorHAnsi"/>
                <w:sz w:val="22"/>
                <w:szCs w:val="22"/>
                <w:lang w:eastAsia="lv-LV"/>
              </w:rPr>
              <w:t>Nosaukums/ Mērvienība</w:t>
            </w:r>
          </w:p>
        </w:tc>
        <w:tc>
          <w:tcPr>
            <w:tcW w:w="1140" w:type="dxa"/>
            <w:vMerge w:val="restart"/>
            <w:hideMark/>
          </w:tcPr>
          <w:p w14:paraId="2DB42673" w14:textId="77777777" w:rsidR="00AA77E9" w:rsidRPr="00CE68EA" w:rsidRDefault="00AA77E9" w:rsidP="007B3B58">
            <w:pPr>
              <w:spacing w:before="0"/>
              <w:jc w:val="center"/>
              <w:rPr>
                <w:rFonts w:eastAsia="Times New Roman" w:cstheme="minorHAnsi"/>
                <w:sz w:val="22"/>
                <w:szCs w:val="22"/>
                <w:lang w:eastAsia="lv-LV"/>
              </w:rPr>
            </w:pPr>
            <w:r w:rsidRPr="00CE68EA">
              <w:rPr>
                <w:rFonts w:eastAsia="Times New Roman" w:cstheme="minorHAnsi"/>
                <w:sz w:val="22"/>
                <w:szCs w:val="22"/>
                <w:lang w:eastAsia="lv-LV"/>
              </w:rPr>
              <w:t>Izpilde 202</w:t>
            </w:r>
            <w:r w:rsidR="007B3B58" w:rsidRPr="00CE68EA">
              <w:rPr>
                <w:rFonts w:eastAsia="Times New Roman" w:cstheme="minorHAnsi"/>
                <w:sz w:val="22"/>
                <w:szCs w:val="22"/>
                <w:lang w:eastAsia="lv-LV"/>
              </w:rPr>
              <w:t>4</w:t>
            </w:r>
            <w:r w:rsidRPr="00CE68EA">
              <w:rPr>
                <w:rFonts w:eastAsia="Times New Roman" w:cstheme="minorHAnsi"/>
                <w:sz w:val="22"/>
                <w:szCs w:val="22"/>
                <w:lang w:eastAsia="lv-LV"/>
              </w:rPr>
              <w:t>. gada</w:t>
            </w:r>
          </w:p>
          <w:p w14:paraId="5F578AA7" w14:textId="0AFC8064" w:rsidR="007B3B58" w:rsidRPr="00CE68EA" w:rsidRDefault="007B3B58" w:rsidP="007B3B58">
            <w:pPr>
              <w:spacing w:before="0"/>
              <w:jc w:val="center"/>
              <w:rPr>
                <w:rFonts w:eastAsia="Times New Roman" w:cstheme="minorHAnsi"/>
                <w:b w:val="0"/>
                <w:bCs w:val="0"/>
                <w:sz w:val="22"/>
                <w:szCs w:val="22"/>
                <w:lang w:eastAsia="lv-LV"/>
              </w:rPr>
            </w:pPr>
            <w:r w:rsidRPr="00CE68EA">
              <w:rPr>
                <w:rFonts w:eastAsia="Times New Roman" w:cstheme="minorHAnsi"/>
                <w:sz w:val="22"/>
                <w:szCs w:val="22"/>
                <w:lang w:eastAsia="lv-LV"/>
              </w:rPr>
              <w:t xml:space="preserve">3 </w:t>
            </w:r>
            <w:proofErr w:type="spellStart"/>
            <w:r w:rsidRPr="00CE68EA">
              <w:rPr>
                <w:rFonts w:eastAsia="Times New Roman" w:cstheme="minorHAnsi"/>
                <w:sz w:val="22"/>
                <w:szCs w:val="22"/>
                <w:lang w:eastAsia="lv-LV"/>
              </w:rPr>
              <w:t>mēn</w:t>
            </w:r>
            <w:proofErr w:type="spellEnd"/>
            <w:r w:rsidR="006D2D85" w:rsidRPr="00CE68EA">
              <w:rPr>
                <w:rFonts w:eastAsia="Times New Roman" w:cstheme="minorHAnsi"/>
                <w:sz w:val="22"/>
                <w:szCs w:val="22"/>
                <w:lang w:eastAsia="lv-LV"/>
              </w:rPr>
              <w:t>.</w:t>
            </w:r>
          </w:p>
        </w:tc>
        <w:tc>
          <w:tcPr>
            <w:tcW w:w="1140" w:type="dxa"/>
            <w:vMerge w:val="restart"/>
            <w:hideMark/>
          </w:tcPr>
          <w:p w14:paraId="3C6F140A" w14:textId="5CC94662" w:rsidR="00AA77E9" w:rsidRPr="00CE68EA" w:rsidRDefault="00AA77E9" w:rsidP="007B3B58">
            <w:pPr>
              <w:spacing w:before="0"/>
              <w:jc w:val="center"/>
              <w:rPr>
                <w:rFonts w:eastAsia="Times New Roman" w:cstheme="minorHAnsi"/>
                <w:b w:val="0"/>
                <w:bCs w:val="0"/>
                <w:sz w:val="22"/>
                <w:szCs w:val="22"/>
                <w:lang w:eastAsia="lv-LV"/>
              </w:rPr>
            </w:pPr>
            <w:r w:rsidRPr="00CE68EA">
              <w:rPr>
                <w:rFonts w:eastAsia="Times New Roman" w:cstheme="minorHAnsi"/>
                <w:sz w:val="22"/>
                <w:szCs w:val="22"/>
                <w:lang w:eastAsia="lv-LV"/>
              </w:rPr>
              <w:t>Plāns 202</w:t>
            </w:r>
            <w:r w:rsidR="007B3B58" w:rsidRPr="00CE68EA">
              <w:rPr>
                <w:rFonts w:eastAsia="Times New Roman" w:cstheme="minorHAnsi"/>
                <w:sz w:val="22"/>
                <w:szCs w:val="22"/>
                <w:lang w:eastAsia="lv-LV"/>
              </w:rPr>
              <w:t>5</w:t>
            </w:r>
            <w:r w:rsidRPr="00CE68EA">
              <w:rPr>
                <w:rFonts w:eastAsia="Times New Roman" w:cstheme="minorHAnsi"/>
                <w:sz w:val="22"/>
                <w:szCs w:val="22"/>
                <w:lang w:eastAsia="lv-LV"/>
              </w:rPr>
              <w:t>. gada</w:t>
            </w:r>
            <w:r w:rsidR="007B3B58" w:rsidRPr="00CE68EA">
              <w:rPr>
                <w:rFonts w:eastAsia="Times New Roman" w:cstheme="minorHAnsi"/>
                <w:sz w:val="22"/>
                <w:szCs w:val="22"/>
                <w:lang w:eastAsia="lv-LV"/>
              </w:rPr>
              <w:t xml:space="preserve"> 3 </w:t>
            </w:r>
            <w:proofErr w:type="spellStart"/>
            <w:r w:rsidR="007B3B58" w:rsidRPr="00CE68EA">
              <w:rPr>
                <w:rFonts w:eastAsia="Times New Roman" w:cstheme="minorHAnsi"/>
                <w:sz w:val="22"/>
                <w:szCs w:val="22"/>
                <w:lang w:eastAsia="lv-LV"/>
              </w:rPr>
              <w:t>mēn</w:t>
            </w:r>
            <w:proofErr w:type="spellEnd"/>
            <w:r w:rsidR="006D2D85" w:rsidRPr="00CE68EA">
              <w:rPr>
                <w:rFonts w:eastAsia="Times New Roman" w:cstheme="minorHAnsi"/>
                <w:sz w:val="22"/>
                <w:szCs w:val="22"/>
                <w:lang w:eastAsia="lv-LV"/>
              </w:rPr>
              <w:t>.</w:t>
            </w:r>
          </w:p>
        </w:tc>
        <w:tc>
          <w:tcPr>
            <w:tcW w:w="1140" w:type="dxa"/>
            <w:vMerge w:val="restart"/>
            <w:hideMark/>
          </w:tcPr>
          <w:p w14:paraId="0C60A8A4" w14:textId="79CFD8D7" w:rsidR="00AA77E9" w:rsidRPr="00CE68EA" w:rsidRDefault="00AA77E9" w:rsidP="007B3B58">
            <w:pPr>
              <w:spacing w:before="0"/>
              <w:jc w:val="center"/>
              <w:rPr>
                <w:rFonts w:eastAsia="Times New Roman" w:cstheme="minorHAnsi"/>
                <w:b w:val="0"/>
                <w:bCs w:val="0"/>
                <w:sz w:val="22"/>
                <w:szCs w:val="22"/>
                <w:lang w:eastAsia="lv-LV"/>
              </w:rPr>
            </w:pPr>
            <w:r w:rsidRPr="00CE68EA">
              <w:rPr>
                <w:rFonts w:eastAsia="Times New Roman" w:cstheme="minorHAnsi"/>
                <w:sz w:val="22"/>
                <w:szCs w:val="22"/>
                <w:lang w:eastAsia="lv-LV"/>
              </w:rPr>
              <w:t>Izpilde 202</w:t>
            </w:r>
            <w:r w:rsidR="007B3B58" w:rsidRPr="00CE68EA">
              <w:rPr>
                <w:rFonts w:eastAsia="Times New Roman" w:cstheme="minorHAnsi"/>
                <w:sz w:val="22"/>
                <w:szCs w:val="22"/>
                <w:lang w:eastAsia="lv-LV"/>
              </w:rPr>
              <w:t>5</w:t>
            </w:r>
            <w:r w:rsidRPr="00CE68EA">
              <w:rPr>
                <w:rFonts w:eastAsia="Times New Roman" w:cstheme="minorHAnsi"/>
                <w:sz w:val="22"/>
                <w:szCs w:val="22"/>
                <w:lang w:eastAsia="lv-LV"/>
              </w:rPr>
              <w:t>. gada</w:t>
            </w:r>
            <w:r w:rsidR="007B3B58" w:rsidRPr="00CE68EA">
              <w:rPr>
                <w:rFonts w:eastAsia="Times New Roman" w:cstheme="minorHAnsi"/>
                <w:sz w:val="22"/>
                <w:szCs w:val="22"/>
                <w:lang w:eastAsia="lv-LV"/>
              </w:rPr>
              <w:t xml:space="preserve"> 3 </w:t>
            </w:r>
            <w:proofErr w:type="spellStart"/>
            <w:r w:rsidR="007B3B58" w:rsidRPr="00CE68EA">
              <w:rPr>
                <w:rFonts w:eastAsia="Times New Roman" w:cstheme="minorHAnsi"/>
                <w:sz w:val="22"/>
                <w:szCs w:val="22"/>
                <w:lang w:eastAsia="lv-LV"/>
              </w:rPr>
              <w:t>mēn</w:t>
            </w:r>
            <w:proofErr w:type="spellEnd"/>
            <w:r w:rsidR="006D2D85" w:rsidRPr="00CE68EA">
              <w:rPr>
                <w:rFonts w:eastAsia="Times New Roman" w:cstheme="minorHAnsi"/>
                <w:sz w:val="22"/>
                <w:szCs w:val="22"/>
                <w:lang w:eastAsia="lv-LV"/>
              </w:rPr>
              <w:t>.</w:t>
            </w:r>
          </w:p>
        </w:tc>
        <w:tc>
          <w:tcPr>
            <w:tcW w:w="2322" w:type="dxa"/>
            <w:gridSpan w:val="2"/>
            <w:hideMark/>
          </w:tcPr>
          <w:p w14:paraId="7332495B" w14:textId="64F545B8" w:rsidR="00AA77E9" w:rsidRPr="00CE68EA" w:rsidRDefault="00AA77E9" w:rsidP="00DD6EFE">
            <w:pPr>
              <w:spacing w:before="0"/>
              <w:jc w:val="center"/>
              <w:rPr>
                <w:rFonts w:eastAsia="Times New Roman" w:cstheme="minorHAnsi"/>
                <w:b w:val="0"/>
                <w:bCs w:val="0"/>
                <w:sz w:val="22"/>
                <w:szCs w:val="22"/>
                <w:lang w:eastAsia="lv-LV"/>
              </w:rPr>
            </w:pPr>
            <w:r w:rsidRPr="00CE68EA">
              <w:rPr>
                <w:rFonts w:eastAsia="Times New Roman" w:cstheme="minorHAnsi"/>
                <w:sz w:val="22"/>
                <w:szCs w:val="22"/>
                <w:lang w:eastAsia="lv-LV"/>
              </w:rPr>
              <w:t>Novirze pret 202</w:t>
            </w:r>
            <w:r w:rsidR="006D2D85" w:rsidRPr="00CE68EA">
              <w:rPr>
                <w:rFonts w:eastAsia="Times New Roman" w:cstheme="minorHAnsi"/>
                <w:sz w:val="22"/>
                <w:szCs w:val="22"/>
                <w:lang w:eastAsia="lv-LV"/>
              </w:rPr>
              <w:t>4</w:t>
            </w:r>
            <w:r w:rsidRPr="00CE68EA">
              <w:rPr>
                <w:rFonts w:eastAsia="Times New Roman" w:cstheme="minorHAnsi"/>
                <w:sz w:val="22"/>
                <w:szCs w:val="22"/>
                <w:lang w:eastAsia="lv-LV"/>
              </w:rPr>
              <w:t>.gad</w:t>
            </w:r>
            <w:r w:rsidR="006D2D85" w:rsidRPr="00CE68EA">
              <w:rPr>
                <w:rFonts w:eastAsia="Times New Roman" w:cstheme="minorHAnsi"/>
                <w:sz w:val="22"/>
                <w:szCs w:val="22"/>
                <w:lang w:eastAsia="lv-LV"/>
              </w:rPr>
              <w:t xml:space="preserve">a 3 </w:t>
            </w:r>
            <w:proofErr w:type="spellStart"/>
            <w:r w:rsidR="006D2D85" w:rsidRPr="00CE68EA">
              <w:rPr>
                <w:rFonts w:eastAsia="Times New Roman" w:cstheme="minorHAnsi"/>
                <w:sz w:val="22"/>
                <w:szCs w:val="22"/>
                <w:lang w:eastAsia="lv-LV"/>
              </w:rPr>
              <w:t>mēn</w:t>
            </w:r>
            <w:proofErr w:type="spellEnd"/>
            <w:r w:rsidR="006D2D85" w:rsidRPr="00CE68EA">
              <w:rPr>
                <w:rFonts w:eastAsia="Times New Roman" w:cstheme="minorHAnsi"/>
                <w:sz w:val="22"/>
                <w:szCs w:val="22"/>
                <w:lang w:eastAsia="lv-LV"/>
              </w:rPr>
              <w:t>.</w:t>
            </w:r>
          </w:p>
        </w:tc>
        <w:tc>
          <w:tcPr>
            <w:tcW w:w="2201" w:type="dxa"/>
            <w:gridSpan w:val="2"/>
            <w:hideMark/>
          </w:tcPr>
          <w:p w14:paraId="6B352796" w14:textId="5D9B8639" w:rsidR="00AA77E9" w:rsidRPr="00CE68EA" w:rsidRDefault="00AA77E9" w:rsidP="00DD6EFE">
            <w:pPr>
              <w:spacing w:before="0"/>
              <w:jc w:val="center"/>
              <w:rPr>
                <w:rFonts w:eastAsia="Times New Roman" w:cstheme="minorHAnsi"/>
                <w:b w:val="0"/>
                <w:bCs w:val="0"/>
                <w:sz w:val="22"/>
                <w:szCs w:val="22"/>
                <w:lang w:eastAsia="lv-LV"/>
              </w:rPr>
            </w:pPr>
            <w:r w:rsidRPr="00CE68EA">
              <w:rPr>
                <w:rFonts w:eastAsia="Times New Roman" w:cstheme="minorHAnsi"/>
                <w:sz w:val="22"/>
                <w:szCs w:val="22"/>
                <w:lang w:eastAsia="lv-LV"/>
              </w:rPr>
              <w:t>Novirze pret 202</w:t>
            </w:r>
            <w:r w:rsidR="006D2D85" w:rsidRPr="00CE68EA">
              <w:rPr>
                <w:rFonts w:eastAsia="Times New Roman" w:cstheme="minorHAnsi"/>
                <w:sz w:val="22"/>
                <w:szCs w:val="22"/>
                <w:lang w:eastAsia="lv-LV"/>
              </w:rPr>
              <w:t>5</w:t>
            </w:r>
            <w:r w:rsidRPr="00CE68EA">
              <w:rPr>
                <w:rFonts w:eastAsia="Times New Roman" w:cstheme="minorHAnsi"/>
                <w:sz w:val="22"/>
                <w:szCs w:val="22"/>
                <w:lang w:eastAsia="lv-LV"/>
              </w:rPr>
              <w:t>.gad</w:t>
            </w:r>
            <w:r w:rsidR="006D2D85" w:rsidRPr="00CE68EA">
              <w:rPr>
                <w:rFonts w:eastAsia="Times New Roman" w:cstheme="minorHAnsi"/>
                <w:sz w:val="22"/>
                <w:szCs w:val="22"/>
                <w:lang w:eastAsia="lv-LV"/>
              </w:rPr>
              <w:t xml:space="preserve">a 3 </w:t>
            </w:r>
            <w:proofErr w:type="spellStart"/>
            <w:r w:rsidR="006D2D85" w:rsidRPr="00CE68EA">
              <w:rPr>
                <w:rFonts w:eastAsia="Times New Roman" w:cstheme="minorHAnsi"/>
                <w:sz w:val="22"/>
                <w:szCs w:val="22"/>
                <w:lang w:eastAsia="lv-LV"/>
              </w:rPr>
              <w:t>mēn</w:t>
            </w:r>
            <w:proofErr w:type="spellEnd"/>
            <w:r w:rsidR="006D2D85" w:rsidRPr="00CE68EA">
              <w:rPr>
                <w:rFonts w:eastAsia="Times New Roman" w:cstheme="minorHAnsi"/>
                <w:sz w:val="22"/>
                <w:szCs w:val="22"/>
                <w:lang w:eastAsia="lv-LV"/>
              </w:rPr>
              <w:t>. plānu</w:t>
            </w:r>
          </w:p>
        </w:tc>
      </w:tr>
      <w:tr w:rsidR="007F4A1A" w:rsidRPr="00CE68EA" w14:paraId="61C671EF" w14:textId="77777777" w:rsidTr="002E2718">
        <w:trPr>
          <w:cnfStyle w:val="100000000000" w:firstRow="1" w:lastRow="0" w:firstColumn="0" w:lastColumn="0" w:oddVBand="0" w:evenVBand="0" w:oddHBand="0" w:evenHBand="0" w:firstRowFirstColumn="0" w:firstRowLastColumn="0" w:lastRowFirstColumn="0" w:lastRowLastColumn="0"/>
          <w:trHeight w:val="315"/>
          <w:tblHeader/>
        </w:trPr>
        <w:tc>
          <w:tcPr>
            <w:tcW w:w="1975" w:type="dxa"/>
            <w:vMerge/>
            <w:hideMark/>
          </w:tcPr>
          <w:p w14:paraId="39D3A748" w14:textId="77777777" w:rsidR="00AA77E9" w:rsidRPr="00CE68EA" w:rsidRDefault="00AA77E9" w:rsidP="00DD6EFE">
            <w:pPr>
              <w:spacing w:before="0"/>
              <w:jc w:val="center"/>
              <w:rPr>
                <w:rFonts w:eastAsia="Times New Roman" w:cstheme="minorHAnsi"/>
                <w:b w:val="0"/>
                <w:bCs w:val="0"/>
                <w:sz w:val="22"/>
                <w:szCs w:val="22"/>
                <w:lang w:eastAsia="lv-LV"/>
              </w:rPr>
            </w:pPr>
          </w:p>
        </w:tc>
        <w:tc>
          <w:tcPr>
            <w:tcW w:w="1140" w:type="dxa"/>
            <w:vMerge/>
            <w:hideMark/>
          </w:tcPr>
          <w:p w14:paraId="07C53ED1" w14:textId="77777777" w:rsidR="00AA77E9" w:rsidRPr="00CE68EA" w:rsidRDefault="00AA77E9" w:rsidP="00DD6EFE">
            <w:pPr>
              <w:spacing w:before="0"/>
              <w:jc w:val="center"/>
              <w:rPr>
                <w:rFonts w:eastAsia="Times New Roman" w:cstheme="minorHAnsi"/>
                <w:b w:val="0"/>
                <w:bCs w:val="0"/>
                <w:sz w:val="22"/>
                <w:szCs w:val="22"/>
                <w:lang w:eastAsia="lv-LV"/>
              </w:rPr>
            </w:pPr>
          </w:p>
        </w:tc>
        <w:tc>
          <w:tcPr>
            <w:tcW w:w="1140" w:type="dxa"/>
            <w:vMerge/>
            <w:hideMark/>
          </w:tcPr>
          <w:p w14:paraId="35077A3E" w14:textId="77777777" w:rsidR="00AA77E9" w:rsidRPr="00CE68EA" w:rsidRDefault="00AA77E9" w:rsidP="00DD6EFE">
            <w:pPr>
              <w:spacing w:before="0"/>
              <w:jc w:val="center"/>
              <w:rPr>
                <w:rFonts w:eastAsia="Times New Roman" w:cstheme="minorHAnsi"/>
                <w:b w:val="0"/>
                <w:bCs w:val="0"/>
                <w:sz w:val="22"/>
                <w:szCs w:val="22"/>
                <w:lang w:eastAsia="lv-LV"/>
              </w:rPr>
            </w:pPr>
          </w:p>
        </w:tc>
        <w:tc>
          <w:tcPr>
            <w:tcW w:w="1140" w:type="dxa"/>
            <w:vMerge/>
            <w:hideMark/>
          </w:tcPr>
          <w:p w14:paraId="7AE97DB4" w14:textId="77777777" w:rsidR="00AA77E9" w:rsidRPr="00CE68EA" w:rsidRDefault="00AA77E9" w:rsidP="00DD6EFE">
            <w:pPr>
              <w:spacing w:before="0"/>
              <w:jc w:val="center"/>
              <w:rPr>
                <w:rFonts w:eastAsia="Times New Roman" w:cstheme="minorHAnsi"/>
                <w:b w:val="0"/>
                <w:bCs w:val="0"/>
                <w:sz w:val="22"/>
                <w:szCs w:val="22"/>
                <w:lang w:eastAsia="lv-LV"/>
              </w:rPr>
            </w:pPr>
          </w:p>
        </w:tc>
        <w:tc>
          <w:tcPr>
            <w:tcW w:w="1116" w:type="dxa"/>
            <w:hideMark/>
          </w:tcPr>
          <w:p w14:paraId="6A8852C8" w14:textId="77777777" w:rsidR="00AA77E9" w:rsidRPr="00CE68EA" w:rsidRDefault="00AA77E9" w:rsidP="00DD6EFE">
            <w:pPr>
              <w:spacing w:before="0"/>
              <w:jc w:val="center"/>
              <w:rPr>
                <w:rFonts w:eastAsia="Times New Roman" w:cstheme="minorHAnsi"/>
                <w:b w:val="0"/>
                <w:bCs w:val="0"/>
                <w:sz w:val="22"/>
                <w:szCs w:val="22"/>
                <w:lang w:eastAsia="lv-LV"/>
              </w:rPr>
            </w:pPr>
            <w:r w:rsidRPr="00CE68EA">
              <w:rPr>
                <w:rFonts w:eastAsia="Times New Roman" w:cstheme="minorHAnsi"/>
                <w:sz w:val="22"/>
                <w:szCs w:val="22"/>
                <w:lang w:eastAsia="lv-LV"/>
              </w:rPr>
              <w:t>EUR</w:t>
            </w:r>
          </w:p>
        </w:tc>
        <w:tc>
          <w:tcPr>
            <w:tcW w:w="1206" w:type="dxa"/>
            <w:hideMark/>
          </w:tcPr>
          <w:p w14:paraId="0ADCAE2F" w14:textId="77777777" w:rsidR="00AA77E9" w:rsidRPr="00CE68EA" w:rsidRDefault="00AA77E9" w:rsidP="00DD6EFE">
            <w:pPr>
              <w:spacing w:before="0"/>
              <w:jc w:val="center"/>
              <w:rPr>
                <w:rFonts w:eastAsia="Times New Roman" w:cstheme="minorHAnsi"/>
                <w:b w:val="0"/>
                <w:bCs w:val="0"/>
                <w:sz w:val="22"/>
                <w:szCs w:val="22"/>
                <w:lang w:eastAsia="lv-LV"/>
              </w:rPr>
            </w:pPr>
            <w:r w:rsidRPr="00CE68EA">
              <w:rPr>
                <w:rFonts w:eastAsia="Times New Roman" w:cstheme="minorHAnsi"/>
                <w:sz w:val="22"/>
                <w:szCs w:val="22"/>
                <w:lang w:eastAsia="lv-LV"/>
              </w:rPr>
              <w:t>%</w:t>
            </w:r>
          </w:p>
        </w:tc>
        <w:tc>
          <w:tcPr>
            <w:tcW w:w="1090" w:type="dxa"/>
            <w:hideMark/>
          </w:tcPr>
          <w:p w14:paraId="4F12E749" w14:textId="77777777" w:rsidR="00AA77E9" w:rsidRPr="00CE68EA" w:rsidRDefault="00AA77E9" w:rsidP="00DD6EFE">
            <w:pPr>
              <w:spacing w:before="0"/>
              <w:jc w:val="center"/>
              <w:rPr>
                <w:rFonts w:eastAsia="Times New Roman" w:cstheme="minorHAnsi"/>
                <w:b w:val="0"/>
                <w:bCs w:val="0"/>
                <w:sz w:val="22"/>
                <w:szCs w:val="22"/>
                <w:lang w:eastAsia="lv-LV"/>
              </w:rPr>
            </w:pPr>
            <w:r w:rsidRPr="00CE68EA">
              <w:rPr>
                <w:rFonts w:eastAsia="Times New Roman" w:cstheme="minorHAnsi"/>
                <w:sz w:val="22"/>
                <w:szCs w:val="22"/>
                <w:lang w:eastAsia="lv-LV"/>
              </w:rPr>
              <w:t>EUR</w:t>
            </w:r>
          </w:p>
        </w:tc>
        <w:tc>
          <w:tcPr>
            <w:tcW w:w="1111" w:type="dxa"/>
            <w:hideMark/>
          </w:tcPr>
          <w:p w14:paraId="233FCDCA" w14:textId="77777777" w:rsidR="00AA77E9" w:rsidRPr="00CE68EA" w:rsidRDefault="00AA77E9" w:rsidP="00DD6EFE">
            <w:pPr>
              <w:spacing w:before="0"/>
              <w:jc w:val="center"/>
              <w:rPr>
                <w:rFonts w:eastAsia="Times New Roman" w:cstheme="minorHAnsi"/>
                <w:b w:val="0"/>
                <w:bCs w:val="0"/>
                <w:sz w:val="22"/>
                <w:szCs w:val="22"/>
                <w:lang w:eastAsia="lv-LV"/>
              </w:rPr>
            </w:pPr>
            <w:r w:rsidRPr="00CE68EA">
              <w:rPr>
                <w:rFonts w:eastAsia="Times New Roman" w:cstheme="minorHAnsi"/>
                <w:sz w:val="22"/>
                <w:szCs w:val="22"/>
                <w:lang w:eastAsia="lv-LV"/>
              </w:rPr>
              <w:t>%</w:t>
            </w:r>
          </w:p>
        </w:tc>
      </w:tr>
      <w:tr w:rsidR="00AA77E9" w:rsidRPr="00CE68EA" w14:paraId="28EE5993" w14:textId="77777777" w:rsidTr="002E2718">
        <w:trPr>
          <w:trHeight w:val="315"/>
        </w:trPr>
        <w:tc>
          <w:tcPr>
            <w:tcW w:w="1975" w:type="dxa"/>
            <w:hideMark/>
          </w:tcPr>
          <w:p w14:paraId="150DB678" w14:textId="77777777" w:rsidR="00AA77E9" w:rsidRPr="00CE68EA" w:rsidRDefault="00AA77E9" w:rsidP="00AA77E9">
            <w:pPr>
              <w:spacing w:before="0"/>
              <w:jc w:val="left"/>
              <w:rPr>
                <w:rFonts w:eastAsia="Times New Roman" w:cstheme="minorHAnsi"/>
                <w:sz w:val="22"/>
                <w:szCs w:val="22"/>
                <w:lang w:eastAsia="lv-LV"/>
              </w:rPr>
            </w:pPr>
            <w:r w:rsidRPr="00CE68EA">
              <w:rPr>
                <w:rFonts w:eastAsia="Times New Roman" w:cstheme="minorHAnsi"/>
                <w:sz w:val="22"/>
                <w:szCs w:val="22"/>
                <w:lang w:eastAsia="lv-LV"/>
              </w:rPr>
              <w:t>Neto apgrozījums</w:t>
            </w:r>
          </w:p>
        </w:tc>
        <w:tc>
          <w:tcPr>
            <w:tcW w:w="1140" w:type="dxa"/>
            <w:noWrap/>
            <w:hideMark/>
          </w:tcPr>
          <w:p w14:paraId="4A1DC880" w14:textId="62B1EF34" w:rsidR="00AA77E9" w:rsidRPr="00CE68EA" w:rsidRDefault="007B3B58" w:rsidP="00AA77E9">
            <w:pPr>
              <w:spacing w:before="0"/>
              <w:jc w:val="right"/>
              <w:rPr>
                <w:rFonts w:eastAsia="Times New Roman" w:cstheme="minorHAnsi"/>
                <w:sz w:val="22"/>
                <w:szCs w:val="22"/>
                <w:lang w:eastAsia="lv-LV"/>
              </w:rPr>
            </w:pPr>
            <w:r w:rsidRPr="00CE68EA">
              <w:rPr>
                <w:rFonts w:eastAsia="Times New Roman" w:cstheme="minorHAnsi"/>
                <w:sz w:val="22"/>
                <w:szCs w:val="22"/>
                <w:lang w:eastAsia="lv-LV"/>
              </w:rPr>
              <w:t>1 304 779</w:t>
            </w:r>
          </w:p>
        </w:tc>
        <w:tc>
          <w:tcPr>
            <w:tcW w:w="1140" w:type="dxa"/>
            <w:noWrap/>
            <w:hideMark/>
          </w:tcPr>
          <w:p w14:paraId="73A1A519" w14:textId="545A40B0" w:rsidR="00AA77E9" w:rsidRPr="00CE68EA" w:rsidRDefault="00F836BF" w:rsidP="00AA77E9">
            <w:pPr>
              <w:spacing w:before="0"/>
              <w:jc w:val="right"/>
              <w:rPr>
                <w:rFonts w:eastAsia="Times New Roman" w:cstheme="minorHAnsi"/>
                <w:sz w:val="22"/>
                <w:szCs w:val="22"/>
                <w:lang w:eastAsia="lv-LV"/>
              </w:rPr>
            </w:pPr>
            <w:r w:rsidRPr="00CE68EA">
              <w:rPr>
                <w:rFonts w:eastAsia="Times New Roman" w:cstheme="minorHAnsi"/>
                <w:sz w:val="22"/>
                <w:szCs w:val="22"/>
                <w:lang w:eastAsia="lv-LV"/>
              </w:rPr>
              <w:t>1 522 097</w:t>
            </w:r>
          </w:p>
        </w:tc>
        <w:tc>
          <w:tcPr>
            <w:tcW w:w="1140" w:type="dxa"/>
            <w:noWrap/>
            <w:hideMark/>
          </w:tcPr>
          <w:p w14:paraId="1B479EAE" w14:textId="27569BE0" w:rsidR="00AA77E9" w:rsidRPr="00CE68EA" w:rsidRDefault="00F836BF" w:rsidP="00AA77E9">
            <w:pPr>
              <w:spacing w:before="0"/>
              <w:jc w:val="right"/>
              <w:rPr>
                <w:rFonts w:eastAsia="Times New Roman" w:cstheme="minorHAnsi"/>
                <w:sz w:val="22"/>
                <w:szCs w:val="22"/>
                <w:lang w:eastAsia="lv-LV"/>
              </w:rPr>
            </w:pPr>
            <w:r w:rsidRPr="00CE68EA">
              <w:rPr>
                <w:rFonts w:eastAsia="Times New Roman" w:cstheme="minorHAnsi"/>
                <w:sz w:val="22"/>
                <w:szCs w:val="22"/>
                <w:lang w:eastAsia="lv-LV"/>
              </w:rPr>
              <w:t>1 423 833</w:t>
            </w:r>
          </w:p>
        </w:tc>
        <w:tc>
          <w:tcPr>
            <w:tcW w:w="1116" w:type="dxa"/>
            <w:noWrap/>
            <w:hideMark/>
          </w:tcPr>
          <w:p w14:paraId="259F3096" w14:textId="56832539" w:rsidR="00AA77E9" w:rsidRPr="00CE68EA" w:rsidRDefault="00D76F78" w:rsidP="00AA77E9">
            <w:pPr>
              <w:spacing w:before="0"/>
              <w:jc w:val="right"/>
              <w:rPr>
                <w:rFonts w:eastAsia="Times New Roman" w:cstheme="minorHAnsi"/>
                <w:sz w:val="22"/>
                <w:szCs w:val="22"/>
                <w:lang w:eastAsia="lv-LV"/>
              </w:rPr>
            </w:pPr>
            <w:r w:rsidRPr="00CE68EA">
              <w:rPr>
                <w:rFonts w:eastAsia="Times New Roman" w:cstheme="minorHAnsi"/>
                <w:sz w:val="22"/>
                <w:szCs w:val="22"/>
                <w:lang w:eastAsia="lv-LV"/>
              </w:rPr>
              <w:t>119 054</w:t>
            </w:r>
          </w:p>
        </w:tc>
        <w:tc>
          <w:tcPr>
            <w:tcW w:w="1206" w:type="dxa"/>
            <w:noWrap/>
            <w:hideMark/>
          </w:tcPr>
          <w:p w14:paraId="6717A6E2" w14:textId="3CE485DD" w:rsidR="00AA77E9" w:rsidRPr="00CE68EA" w:rsidRDefault="00D76F78" w:rsidP="00AA77E9">
            <w:pPr>
              <w:spacing w:before="0"/>
              <w:jc w:val="center"/>
              <w:rPr>
                <w:rFonts w:eastAsia="Times New Roman" w:cstheme="minorHAnsi"/>
                <w:sz w:val="22"/>
                <w:szCs w:val="22"/>
                <w:lang w:eastAsia="lv-LV"/>
              </w:rPr>
            </w:pPr>
            <w:r w:rsidRPr="00CE68EA">
              <w:rPr>
                <w:rFonts w:eastAsia="Times New Roman" w:cstheme="minorHAnsi"/>
                <w:sz w:val="22"/>
                <w:szCs w:val="22"/>
                <w:lang w:eastAsia="lv-LV"/>
              </w:rPr>
              <w:t>9,12%</w:t>
            </w:r>
          </w:p>
        </w:tc>
        <w:tc>
          <w:tcPr>
            <w:tcW w:w="1090" w:type="dxa"/>
            <w:noWrap/>
            <w:hideMark/>
          </w:tcPr>
          <w:p w14:paraId="116A1561" w14:textId="2A1CD9FB" w:rsidR="00AA77E9" w:rsidRPr="00CE68EA" w:rsidRDefault="002E2718" w:rsidP="00AA77E9">
            <w:pPr>
              <w:spacing w:before="0"/>
              <w:jc w:val="right"/>
              <w:rPr>
                <w:rFonts w:eastAsia="Times New Roman" w:cstheme="minorHAnsi"/>
                <w:sz w:val="22"/>
                <w:szCs w:val="22"/>
                <w:lang w:eastAsia="lv-LV"/>
              </w:rPr>
            </w:pPr>
            <w:r w:rsidRPr="00CE68EA">
              <w:rPr>
                <w:rFonts w:eastAsia="Times New Roman" w:cstheme="minorHAnsi"/>
                <w:sz w:val="22"/>
                <w:szCs w:val="22"/>
                <w:lang w:eastAsia="lv-LV"/>
              </w:rPr>
              <w:t>-98 264</w:t>
            </w:r>
          </w:p>
        </w:tc>
        <w:tc>
          <w:tcPr>
            <w:tcW w:w="1111" w:type="dxa"/>
            <w:noWrap/>
            <w:hideMark/>
          </w:tcPr>
          <w:p w14:paraId="2DC2E595" w14:textId="62927508" w:rsidR="00AA77E9" w:rsidRPr="00CE68EA" w:rsidRDefault="002E2718" w:rsidP="002E2718">
            <w:pPr>
              <w:spacing w:before="0"/>
              <w:jc w:val="center"/>
              <w:rPr>
                <w:rFonts w:eastAsia="Times New Roman" w:cstheme="minorHAnsi"/>
                <w:sz w:val="22"/>
                <w:szCs w:val="22"/>
                <w:lang w:eastAsia="lv-LV"/>
              </w:rPr>
            </w:pPr>
            <w:r w:rsidRPr="00CE68EA">
              <w:rPr>
                <w:rFonts w:eastAsia="Times New Roman" w:cstheme="minorHAnsi"/>
                <w:sz w:val="22"/>
                <w:szCs w:val="22"/>
                <w:lang w:eastAsia="lv-LV"/>
              </w:rPr>
              <w:t>-6,46%</w:t>
            </w:r>
          </w:p>
        </w:tc>
      </w:tr>
      <w:tr w:rsidR="00AA77E9" w:rsidRPr="00CE68EA" w14:paraId="1202DB6F" w14:textId="77777777" w:rsidTr="002E2718">
        <w:trPr>
          <w:trHeight w:val="315"/>
        </w:trPr>
        <w:tc>
          <w:tcPr>
            <w:tcW w:w="1975" w:type="dxa"/>
            <w:noWrap/>
            <w:hideMark/>
          </w:tcPr>
          <w:p w14:paraId="5AEF2B13" w14:textId="77777777" w:rsidR="00AA77E9" w:rsidRPr="00CE68EA" w:rsidRDefault="00AA77E9" w:rsidP="00AA77E9">
            <w:pPr>
              <w:spacing w:before="0"/>
              <w:jc w:val="left"/>
              <w:rPr>
                <w:rFonts w:eastAsia="Times New Roman" w:cstheme="minorHAnsi"/>
                <w:color w:val="000000"/>
                <w:sz w:val="22"/>
                <w:szCs w:val="22"/>
                <w:lang w:eastAsia="lv-LV"/>
              </w:rPr>
            </w:pPr>
            <w:r w:rsidRPr="00CE68EA">
              <w:rPr>
                <w:rFonts w:eastAsia="Times New Roman" w:cstheme="minorHAnsi"/>
                <w:color w:val="000000"/>
                <w:sz w:val="22"/>
                <w:szCs w:val="22"/>
                <w:lang w:eastAsia="lv-LV"/>
              </w:rPr>
              <w:t>Kopējie ieņēmumi</w:t>
            </w:r>
          </w:p>
        </w:tc>
        <w:tc>
          <w:tcPr>
            <w:tcW w:w="1140" w:type="dxa"/>
            <w:noWrap/>
            <w:hideMark/>
          </w:tcPr>
          <w:p w14:paraId="24546D78" w14:textId="4AFADAAC" w:rsidR="00AA77E9" w:rsidRPr="00CE68EA" w:rsidRDefault="007B3B58" w:rsidP="00AA77E9">
            <w:pPr>
              <w:spacing w:before="0"/>
              <w:jc w:val="right"/>
              <w:rPr>
                <w:rFonts w:eastAsia="Times New Roman" w:cstheme="minorHAnsi"/>
                <w:sz w:val="22"/>
                <w:szCs w:val="22"/>
                <w:lang w:eastAsia="lv-LV"/>
              </w:rPr>
            </w:pPr>
            <w:r w:rsidRPr="00CE68EA">
              <w:rPr>
                <w:rFonts w:eastAsia="Times New Roman" w:cstheme="minorHAnsi"/>
                <w:sz w:val="22"/>
                <w:szCs w:val="22"/>
                <w:lang w:eastAsia="lv-LV"/>
              </w:rPr>
              <w:t>1 371 683</w:t>
            </w:r>
          </w:p>
        </w:tc>
        <w:tc>
          <w:tcPr>
            <w:tcW w:w="1140" w:type="dxa"/>
            <w:noWrap/>
            <w:hideMark/>
          </w:tcPr>
          <w:p w14:paraId="55F847D8" w14:textId="22263FE9" w:rsidR="00AA77E9" w:rsidRPr="00CE68EA" w:rsidRDefault="00A6546D" w:rsidP="00AA77E9">
            <w:pPr>
              <w:spacing w:before="0"/>
              <w:jc w:val="right"/>
              <w:rPr>
                <w:rFonts w:eastAsia="Times New Roman" w:cstheme="minorHAnsi"/>
                <w:sz w:val="22"/>
                <w:szCs w:val="22"/>
                <w:lang w:eastAsia="lv-LV"/>
              </w:rPr>
            </w:pPr>
            <w:r w:rsidRPr="00CE68EA">
              <w:rPr>
                <w:rFonts w:eastAsia="Times New Roman" w:cstheme="minorHAnsi"/>
                <w:sz w:val="22"/>
                <w:szCs w:val="22"/>
                <w:lang w:eastAsia="lv-LV"/>
              </w:rPr>
              <w:t>1 578 992</w:t>
            </w:r>
          </w:p>
        </w:tc>
        <w:tc>
          <w:tcPr>
            <w:tcW w:w="1140" w:type="dxa"/>
            <w:noWrap/>
            <w:hideMark/>
          </w:tcPr>
          <w:p w14:paraId="30E90C9A" w14:textId="38BE8D1F" w:rsidR="00AA77E9" w:rsidRPr="00CE68EA" w:rsidRDefault="00A6546D" w:rsidP="00AA77E9">
            <w:pPr>
              <w:spacing w:before="0"/>
              <w:jc w:val="right"/>
              <w:rPr>
                <w:rFonts w:eastAsia="Times New Roman" w:cstheme="minorHAnsi"/>
                <w:sz w:val="22"/>
                <w:szCs w:val="22"/>
                <w:lang w:eastAsia="lv-LV"/>
              </w:rPr>
            </w:pPr>
            <w:r w:rsidRPr="00CE68EA">
              <w:rPr>
                <w:rFonts w:eastAsia="Times New Roman" w:cstheme="minorHAnsi"/>
                <w:sz w:val="22"/>
                <w:szCs w:val="22"/>
                <w:lang w:eastAsia="lv-LV"/>
              </w:rPr>
              <w:t>1 491 321</w:t>
            </w:r>
          </w:p>
        </w:tc>
        <w:tc>
          <w:tcPr>
            <w:tcW w:w="1116" w:type="dxa"/>
            <w:noWrap/>
            <w:hideMark/>
          </w:tcPr>
          <w:p w14:paraId="77952F55" w14:textId="3EAE8185" w:rsidR="00AA77E9" w:rsidRPr="00CE68EA" w:rsidRDefault="00D76F78" w:rsidP="00AA77E9">
            <w:pPr>
              <w:spacing w:before="0"/>
              <w:jc w:val="right"/>
              <w:rPr>
                <w:rFonts w:eastAsia="Times New Roman" w:cstheme="minorHAnsi"/>
                <w:sz w:val="22"/>
                <w:szCs w:val="22"/>
                <w:lang w:eastAsia="lv-LV"/>
              </w:rPr>
            </w:pPr>
            <w:r w:rsidRPr="00CE68EA">
              <w:rPr>
                <w:rFonts w:eastAsia="Times New Roman" w:cstheme="minorHAnsi"/>
                <w:sz w:val="22"/>
                <w:szCs w:val="22"/>
                <w:lang w:eastAsia="lv-LV"/>
              </w:rPr>
              <w:t>119 638</w:t>
            </w:r>
          </w:p>
        </w:tc>
        <w:tc>
          <w:tcPr>
            <w:tcW w:w="1206" w:type="dxa"/>
            <w:noWrap/>
            <w:hideMark/>
          </w:tcPr>
          <w:p w14:paraId="3145C358" w14:textId="03C2BFF0" w:rsidR="00AA77E9" w:rsidRPr="00CE68EA" w:rsidRDefault="00D76F78" w:rsidP="00AA77E9">
            <w:pPr>
              <w:spacing w:before="0"/>
              <w:jc w:val="center"/>
              <w:rPr>
                <w:rFonts w:eastAsia="Times New Roman" w:cstheme="minorHAnsi"/>
                <w:sz w:val="22"/>
                <w:szCs w:val="22"/>
                <w:lang w:eastAsia="lv-LV"/>
              </w:rPr>
            </w:pPr>
            <w:r w:rsidRPr="00CE68EA">
              <w:rPr>
                <w:rFonts w:eastAsia="Times New Roman" w:cstheme="minorHAnsi"/>
                <w:sz w:val="22"/>
                <w:szCs w:val="22"/>
                <w:lang w:eastAsia="lv-LV"/>
              </w:rPr>
              <w:t>8,72%</w:t>
            </w:r>
          </w:p>
        </w:tc>
        <w:tc>
          <w:tcPr>
            <w:tcW w:w="1090" w:type="dxa"/>
            <w:noWrap/>
            <w:hideMark/>
          </w:tcPr>
          <w:p w14:paraId="5C63DD5C" w14:textId="1910CB09" w:rsidR="00AA77E9" w:rsidRPr="00CE68EA" w:rsidRDefault="002E2718" w:rsidP="00AA77E9">
            <w:pPr>
              <w:spacing w:before="0"/>
              <w:jc w:val="right"/>
              <w:rPr>
                <w:rFonts w:eastAsia="Times New Roman" w:cstheme="minorHAnsi"/>
                <w:sz w:val="22"/>
                <w:szCs w:val="22"/>
                <w:lang w:eastAsia="lv-LV"/>
              </w:rPr>
            </w:pPr>
            <w:r w:rsidRPr="00CE68EA">
              <w:rPr>
                <w:rFonts w:eastAsia="Times New Roman" w:cstheme="minorHAnsi"/>
                <w:sz w:val="22"/>
                <w:szCs w:val="22"/>
                <w:lang w:eastAsia="lv-LV"/>
              </w:rPr>
              <w:t>-87 671</w:t>
            </w:r>
          </w:p>
        </w:tc>
        <w:tc>
          <w:tcPr>
            <w:tcW w:w="1111" w:type="dxa"/>
            <w:noWrap/>
            <w:hideMark/>
          </w:tcPr>
          <w:p w14:paraId="7E2FFCD1" w14:textId="1121C6FE" w:rsidR="00AA77E9" w:rsidRPr="00CE68EA" w:rsidRDefault="002E2718" w:rsidP="00AA77E9">
            <w:pPr>
              <w:spacing w:before="0"/>
              <w:jc w:val="center"/>
              <w:rPr>
                <w:rFonts w:eastAsia="Times New Roman" w:cstheme="minorHAnsi"/>
                <w:sz w:val="22"/>
                <w:szCs w:val="22"/>
                <w:lang w:eastAsia="lv-LV"/>
              </w:rPr>
            </w:pPr>
            <w:r w:rsidRPr="00CE68EA">
              <w:rPr>
                <w:rFonts w:eastAsia="Times New Roman" w:cstheme="minorHAnsi"/>
                <w:sz w:val="22"/>
                <w:szCs w:val="22"/>
                <w:lang w:eastAsia="lv-LV"/>
              </w:rPr>
              <w:t>-5,55</w:t>
            </w:r>
            <w:r w:rsidR="00AA77E9" w:rsidRPr="00CE68EA">
              <w:rPr>
                <w:rFonts w:eastAsia="Times New Roman" w:cstheme="minorHAnsi"/>
                <w:sz w:val="22"/>
                <w:szCs w:val="22"/>
                <w:lang w:eastAsia="lv-LV"/>
              </w:rPr>
              <w:t>%</w:t>
            </w:r>
          </w:p>
        </w:tc>
      </w:tr>
      <w:tr w:rsidR="00AA77E9" w:rsidRPr="00CE68EA" w14:paraId="006DCA62" w14:textId="77777777" w:rsidTr="002E2718">
        <w:trPr>
          <w:trHeight w:val="315"/>
        </w:trPr>
        <w:tc>
          <w:tcPr>
            <w:tcW w:w="1975" w:type="dxa"/>
            <w:noWrap/>
            <w:hideMark/>
          </w:tcPr>
          <w:p w14:paraId="12A8EE65" w14:textId="77777777" w:rsidR="00AA77E9" w:rsidRPr="00CE68EA" w:rsidRDefault="00AA77E9" w:rsidP="00AA77E9">
            <w:pPr>
              <w:spacing w:before="0"/>
              <w:jc w:val="left"/>
              <w:rPr>
                <w:rFonts w:eastAsia="Times New Roman" w:cstheme="minorHAnsi"/>
                <w:color w:val="000000"/>
                <w:sz w:val="22"/>
                <w:szCs w:val="22"/>
                <w:lang w:eastAsia="lv-LV"/>
              </w:rPr>
            </w:pPr>
            <w:r w:rsidRPr="00CE68EA">
              <w:rPr>
                <w:rFonts w:eastAsia="Times New Roman" w:cstheme="minorHAnsi"/>
                <w:color w:val="000000"/>
                <w:sz w:val="22"/>
                <w:szCs w:val="22"/>
                <w:lang w:eastAsia="lv-LV"/>
              </w:rPr>
              <w:t>Kopējie izdevumi</w:t>
            </w:r>
          </w:p>
        </w:tc>
        <w:tc>
          <w:tcPr>
            <w:tcW w:w="1140" w:type="dxa"/>
            <w:noWrap/>
            <w:hideMark/>
          </w:tcPr>
          <w:p w14:paraId="75CE4D96" w14:textId="1934D849" w:rsidR="00AA77E9" w:rsidRPr="00CE68EA" w:rsidRDefault="007B3B58" w:rsidP="00AA77E9">
            <w:pPr>
              <w:spacing w:before="0"/>
              <w:jc w:val="right"/>
              <w:rPr>
                <w:rFonts w:eastAsia="Times New Roman" w:cstheme="minorHAnsi"/>
                <w:sz w:val="22"/>
                <w:szCs w:val="22"/>
                <w:lang w:eastAsia="lv-LV"/>
              </w:rPr>
            </w:pPr>
            <w:r w:rsidRPr="00CE68EA">
              <w:rPr>
                <w:rFonts w:eastAsia="Times New Roman" w:cstheme="minorHAnsi"/>
                <w:sz w:val="22"/>
                <w:szCs w:val="22"/>
                <w:lang w:eastAsia="lv-LV"/>
              </w:rPr>
              <w:t>1 376 894</w:t>
            </w:r>
          </w:p>
        </w:tc>
        <w:tc>
          <w:tcPr>
            <w:tcW w:w="1140" w:type="dxa"/>
            <w:noWrap/>
            <w:hideMark/>
          </w:tcPr>
          <w:p w14:paraId="06837CD7" w14:textId="7A8C2656" w:rsidR="00AA77E9" w:rsidRPr="00CE68EA" w:rsidRDefault="00A6546D" w:rsidP="00DA2F49">
            <w:pPr>
              <w:spacing w:before="0"/>
              <w:jc w:val="right"/>
              <w:rPr>
                <w:rFonts w:eastAsia="Times New Roman" w:cstheme="minorHAnsi"/>
                <w:sz w:val="22"/>
                <w:szCs w:val="22"/>
                <w:lang w:eastAsia="lv-LV"/>
              </w:rPr>
            </w:pPr>
            <w:r w:rsidRPr="00CE68EA">
              <w:rPr>
                <w:rFonts w:eastAsia="Times New Roman" w:cstheme="minorHAnsi"/>
                <w:sz w:val="22"/>
                <w:szCs w:val="22"/>
                <w:lang w:eastAsia="lv-LV"/>
              </w:rPr>
              <w:t xml:space="preserve">1 575 </w:t>
            </w:r>
            <w:r w:rsidR="00DA2F49" w:rsidRPr="00CE68EA">
              <w:rPr>
                <w:rFonts w:eastAsia="Times New Roman" w:cstheme="minorHAnsi"/>
                <w:sz w:val="22"/>
                <w:szCs w:val="22"/>
                <w:lang w:eastAsia="lv-LV"/>
              </w:rPr>
              <w:t>940</w:t>
            </w:r>
          </w:p>
        </w:tc>
        <w:tc>
          <w:tcPr>
            <w:tcW w:w="1140" w:type="dxa"/>
            <w:noWrap/>
            <w:hideMark/>
          </w:tcPr>
          <w:p w14:paraId="7D58F5A1" w14:textId="4592B00A" w:rsidR="00AA77E9" w:rsidRPr="00CE68EA" w:rsidRDefault="00A6546D" w:rsidP="00AA77E9">
            <w:pPr>
              <w:spacing w:before="0"/>
              <w:jc w:val="right"/>
              <w:rPr>
                <w:rFonts w:eastAsia="Times New Roman" w:cstheme="minorHAnsi"/>
                <w:sz w:val="22"/>
                <w:szCs w:val="22"/>
                <w:lang w:eastAsia="lv-LV"/>
              </w:rPr>
            </w:pPr>
            <w:r w:rsidRPr="00CE68EA">
              <w:rPr>
                <w:rFonts w:eastAsia="Times New Roman" w:cstheme="minorHAnsi"/>
                <w:sz w:val="22"/>
                <w:szCs w:val="22"/>
                <w:lang w:eastAsia="lv-LV"/>
              </w:rPr>
              <w:t>1 550 739</w:t>
            </w:r>
          </w:p>
        </w:tc>
        <w:tc>
          <w:tcPr>
            <w:tcW w:w="1116" w:type="dxa"/>
            <w:noWrap/>
            <w:hideMark/>
          </w:tcPr>
          <w:p w14:paraId="58D42429" w14:textId="78F20A9A" w:rsidR="00AA77E9" w:rsidRPr="00CE68EA" w:rsidRDefault="00D76F78" w:rsidP="00AA77E9">
            <w:pPr>
              <w:spacing w:before="0"/>
              <w:jc w:val="right"/>
              <w:rPr>
                <w:rFonts w:eastAsia="Times New Roman" w:cstheme="minorHAnsi"/>
                <w:sz w:val="22"/>
                <w:szCs w:val="22"/>
                <w:lang w:eastAsia="lv-LV"/>
              </w:rPr>
            </w:pPr>
            <w:r w:rsidRPr="00CE68EA">
              <w:rPr>
                <w:rFonts w:eastAsia="Times New Roman" w:cstheme="minorHAnsi"/>
                <w:sz w:val="22"/>
                <w:szCs w:val="22"/>
                <w:lang w:eastAsia="lv-LV"/>
              </w:rPr>
              <w:t>173 951</w:t>
            </w:r>
          </w:p>
        </w:tc>
        <w:tc>
          <w:tcPr>
            <w:tcW w:w="1206" w:type="dxa"/>
            <w:noWrap/>
            <w:hideMark/>
          </w:tcPr>
          <w:p w14:paraId="5D7C30B4" w14:textId="72683DAB" w:rsidR="00AA77E9" w:rsidRPr="00CE68EA" w:rsidRDefault="00D76F78" w:rsidP="00AA77E9">
            <w:pPr>
              <w:spacing w:before="0"/>
              <w:jc w:val="center"/>
              <w:rPr>
                <w:rFonts w:eastAsia="Times New Roman" w:cstheme="minorHAnsi"/>
                <w:sz w:val="22"/>
                <w:szCs w:val="22"/>
                <w:lang w:eastAsia="lv-LV"/>
              </w:rPr>
            </w:pPr>
            <w:r w:rsidRPr="00CE68EA">
              <w:rPr>
                <w:rFonts w:eastAsia="Times New Roman" w:cstheme="minorHAnsi"/>
                <w:sz w:val="22"/>
                <w:szCs w:val="22"/>
                <w:lang w:eastAsia="lv-LV"/>
              </w:rPr>
              <w:t>12,63</w:t>
            </w:r>
            <w:r w:rsidR="00AA77E9" w:rsidRPr="00CE68EA">
              <w:rPr>
                <w:rFonts w:eastAsia="Times New Roman" w:cstheme="minorHAnsi"/>
                <w:sz w:val="22"/>
                <w:szCs w:val="22"/>
                <w:lang w:eastAsia="lv-LV"/>
              </w:rPr>
              <w:t>%</w:t>
            </w:r>
          </w:p>
        </w:tc>
        <w:tc>
          <w:tcPr>
            <w:tcW w:w="1090" w:type="dxa"/>
            <w:noWrap/>
            <w:hideMark/>
          </w:tcPr>
          <w:p w14:paraId="0065543E" w14:textId="078F9912" w:rsidR="00AA77E9" w:rsidRPr="00CE68EA" w:rsidRDefault="002E2718" w:rsidP="00AA77E9">
            <w:pPr>
              <w:spacing w:before="0"/>
              <w:jc w:val="right"/>
              <w:rPr>
                <w:rFonts w:eastAsia="Times New Roman" w:cstheme="minorHAnsi"/>
                <w:sz w:val="22"/>
                <w:szCs w:val="22"/>
                <w:lang w:eastAsia="lv-LV"/>
              </w:rPr>
            </w:pPr>
            <w:r w:rsidRPr="00CE68EA">
              <w:rPr>
                <w:rFonts w:eastAsia="Times New Roman" w:cstheme="minorHAnsi"/>
                <w:sz w:val="22"/>
                <w:szCs w:val="22"/>
                <w:lang w:eastAsia="lv-LV"/>
              </w:rPr>
              <w:t>-25 095</w:t>
            </w:r>
          </w:p>
        </w:tc>
        <w:tc>
          <w:tcPr>
            <w:tcW w:w="1111" w:type="dxa"/>
            <w:noWrap/>
            <w:hideMark/>
          </w:tcPr>
          <w:p w14:paraId="4A5D82C0" w14:textId="00F6CC4B" w:rsidR="00AA77E9" w:rsidRPr="00CE68EA" w:rsidRDefault="002E2718" w:rsidP="00AA77E9">
            <w:pPr>
              <w:spacing w:before="0"/>
              <w:jc w:val="center"/>
              <w:rPr>
                <w:rFonts w:eastAsia="Times New Roman" w:cstheme="minorHAnsi"/>
                <w:sz w:val="22"/>
                <w:szCs w:val="22"/>
                <w:lang w:eastAsia="lv-LV"/>
              </w:rPr>
            </w:pPr>
            <w:r w:rsidRPr="00CE68EA">
              <w:rPr>
                <w:rFonts w:eastAsia="Times New Roman" w:cstheme="minorHAnsi"/>
                <w:sz w:val="22"/>
                <w:szCs w:val="22"/>
                <w:lang w:eastAsia="lv-LV"/>
              </w:rPr>
              <w:t>-1,59</w:t>
            </w:r>
            <w:r w:rsidR="00AA77E9" w:rsidRPr="00CE68EA">
              <w:rPr>
                <w:rFonts w:eastAsia="Times New Roman" w:cstheme="minorHAnsi"/>
                <w:sz w:val="22"/>
                <w:szCs w:val="22"/>
                <w:lang w:eastAsia="lv-LV"/>
              </w:rPr>
              <w:t>%</w:t>
            </w:r>
          </w:p>
        </w:tc>
      </w:tr>
      <w:tr w:rsidR="00AA77E9" w:rsidRPr="00CE68EA" w14:paraId="32DF72D9" w14:textId="77777777" w:rsidTr="002E2718">
        <w:trPr>
          <w:trHeight w:val="315"/>
        </w:trPr>
        <w:tc>
          <w:tcPr>
            <w:tcW w:w="1975" w:type="dxa"/>
            <w:noWrap/>
            <w:hideMark/>
          </w:tcPr>
          <w:p w14:paraId="0EF9D02C" w14:textId="77777777" w:rsidR="00AA77E9" w:rsidRPr="00CE68EA" w:rsidRDefault="00AA77E9" w:rsidP="00AA77E9">
            <w:pPr>
              <w:spacing w:before="0"/>
              <w:jc w:val="left"/>
              <w:rPr>
                <w:rFonts w:eastAsia="Times New Roman" w:cstheme="minorHAnsi"/>
                <w:color w:val="000000"/>
                <w:sz w:val="22"/>
                <w:szCs w:val="22"/>
                <w:lang w:eastAsia="lv-LV"/>
              </w:rPr>
            </w:pPr>
            <w:r w:rsidRPr="00CE68EA">
              <w:rPr>
                <w:rFonts w:eastAsia="Times New Roman" w:cstheme="minorHAnsi"/>
                <w:color w:val="000000"/>
                <w:sz w:val="22"/>
                <w:szCs w:val="22"/>
                <w:lang w:eastAsia="lv-LV"/>
              </w:rPr>
              <w:t>Bruto peļņa vai zaudējumi</w:t>
            </w:r>
          </w:p>
        </w:tc>
        <w:tc>
          <w:tcPr>
            <w:tcW w:w="1140" w:type="dxa"/>
            <w:noWrap/>
            <w:hideMark/>
          </w:tcPr>
          <w:p w14:paraId="20B3CECD" w14:textId="1D59CDA8" w:rsidR="00AA77E9" w:rsidRPr="00CE68EA" w:rsidRDefault="00F836BF" w:rsidP="00AA77E9">
            <w:pPr>
              <w:spacing w:before="0"/>
              <w:jc w:val="right"/>
              <w:rPr>
                <w:rFonts w:eastAsia="Times New Roman" w:cstheme="minorHAnsi"/>
                <w:sz w:val="22"/>
                <w:szCs w:val="22"/>
                <w:lang w:eastAsia="lv-LV"/>
              </w:rPr>
            </w:pPr>
            <w:r w:rsidRPr="00CE68EA">
              <w:rPr>
                <w:rFonts w:eastAsia="Times New Roman" w:cstheme="minorHAnsi"/>
                <w:sz w:val="22"/>
                <w:szCs w:val="22"/>
                <w:lang w:eastAsia="lv-LV"/>
              </w:rPr>
              <w:t>38 748</w:t>
            </w:r>
          </w:p>
        </w:tc>
        <w:tc>
          <w:tcPr>
            <w:tcW w:w="1140" w:type="dxa"/>
            <w:noWrap/>
            <w:hideMark/>
          </w:tcPr>
          <w:p w14:paraId="2D1150E6" w14:textId="15DB6C51" w:rsidR="00AA77E9" w:rsidRPr="00CE68EA" w:rsidRDefault="00A6546D" w:rsidP="00AA77E9">
            <w:pPr>
              <w:spacing w:before="0"/>
              <w:jc w:val="right"/>
              <w:rPr>
                <w:rFonts w:eastAsia="Times New Roman" w:cstheme="minorHAnsi"/>
                <w:sz w:val="22"/>
                <w:szCs w:val="22"/>
                <w:lang w:eastAsia="lv-LV"/>
              </w:rPr>
            </w:pPr>
            <w:r w:rsidRPr="00CE68EA">
              <w:rPr>
                <w:rFonts w:eastAsia="Times New Roman" w:cstheme="minorHAnsi"/>
                <w:sz w:val="22"/>
                <w:szCs w:val="22"/>
                <w:lang w:eastAsia="lv-LV"/>
              </w:rPr>
              <w:t>63 120</w:t>
            </w:r>
          </w:p>
        </w:tc>
        <w:tc>
          <w:tcPr>
            <w:tcW w:w="1140" w:type="dxa"/>
            <w:noWrap/>
            <w:hideMark/>
          </w:tcPr>
          <w:p w14:paraId="0C594F27" w14:textId="460AE358" w:rsidR="00AA77E9" w:rsidRPr="00CE68EA" w:rsidRDefault="00A6546D" w:rsidP="00AA77E9">
            <w:pPr>
              <w:spacing w:before="0"/>
              <w:jc w:val="right"/>
              <w:rPr>
                <w:rFonts w:eastAsia="Times New Roman" w:cstheme="minorHAnsi"/>
                <w:sz w:val="22"/>
                <w:szCs w:val="22"/>
                <w:lang w:eastAsia="lv-LV"/>
              </w:rPr>
            </w:pPr>
            <w:r w:rsidRPr="00CE68EA">
              <w:rPr>
                <w:rFonts w:eastAsia="Times New Roman" w:cstheme="minorHAnsi"/>
                <w:sz w:val="22"/>
                <w:szCs w:val="22"/>
                <w:lang w:eastAsia="lv-LV"/>
              </w:rPr>
              <w:t>20 105</w:t>
            </w:r>
          </w:p>
        </w:tc>
        <w:tc>
          <w:tcPr>
            <w:tcW w:w="1116" w:type="dxa"/>
            <w:noWrap/>
            <w:hideMark/>
          </w:tcPr>
          <w:p w14:paraId="593E40DA" w14:textId="3AFC9840" w:rsidR="00AA77E9" w:rsidRPr="00CE68EA" w:rsidRDefault="00D76F78" w:rsidP="00AA77E9">
            <w:pPr>
              <w:spacing w:before="0"/>
              <w:jc w:val="right"/>
              <w:rPr>
                <w:rFonts w:eastAsia="Times New Roman" w:cstheme="minorHAnsi"/>
                <w:sz w:val="22"/>
                <w:szCs w:val="22"/>
                <w:lang w:eastAsia="lv-LV"/>
              </w:rPr>
            </w:pPr>
            <w:r w:rsidRPr="00CE68EA">
              <w:rPr>
                <w:rFonts w:eastAsia="Times New Roman" w:cstheme="minorHAnsi"/>
                <w:sz w:val="22"/>
                <w:szCs w:val="22"/>
                <w:lang w:eastAsia="lv-LV"/>
              </w:rPr>
              <w:t>-18 643</w:t>
            </w:r>
          </w:p>
        </w:tc>
        <w:tc>
          <w:tcPr>
            <w:tcW w:w="1206" w:type="dxa"/>
            <w:noWrap/>
            <w:hideMark/>
          </w:tcPr>
          <w:p w14:paraId="444ADDCC" w14:textId="1AAFC850" w:rsidR="00AA77E9" w:rsidRPr="00CE68EA" w:rsidRDefault="00D76F78" w:rsidP="00AA77E9">
            <w:pPr>
              <w:spacing w:before="0"/>
              <w:jc w:val="center"/>
              <w:rPr>
                <w:rFonts w:eastAsia="Times New Roman" w:cstheme="minorHAnsi"/>
                <w:sz w:val="22"/>
                <w:szCs w:val="22"/>
                <w:lang w:eastAsia="lv-LV"/>
              </w:rPr>
            </w:pPr>
            <w:r w:rsidRPr="00CE68EA">
              <w:rPr>
                <w:rFonts w:eastAsia="Times New Roman" w:cstheme="minorHAnsi"/>
                <w:sz w:val="22"/>
                <w:szCs w:val="22"/>
                <w:lang w:eastAsia="lv-LV"/>
              </w:rPr>
              <w:t>48,11</w:t>
            </w:r>
            <w:r w:rsidR="00AA77E9" w:rsidRPr="00CE68EA">
              <w:rPr>
                <w:rFonts w:eastAsia="Times New Roman" w:cstheme="minorHAnsi"/>
                <w:sz w:val="22"/>
                <w:szCs w:val="22"/>
                <w:lang w:eastAsia="lv-LV"/>
              </w:rPr>
              <w:t>%</w:t>
            </w:r>
          </w:p>
        </w:tc>
        <w:tc>
          <w:tcPr>
            <w:tcW w:w="1090" w:type="dxa"/>
            <w:noWrap/>
            <w:hideMark/>
          </w:tcPr>
          <w:p w14:paraId="072BC12A" w14:textId="59EB678A" w:rsidR="00AA77E9" w:rsidRPr="00CE68EA" w:rsidRDefault="002E2718" w:rsidP="002E2718">
            <w:pPr>
              <w:spacing w:before="0"/>
              <w:jc w:val="right"/>
              <w:rPr>
                <w:rFonts w:eastAsia="Times New Roman" w:cstheme="minorHAnsi"/>
                <w:sz w:val="22"/>
                <w:szCs w:val="22"/>
                <w:lang w:eastAsia="lv-LV"/>
              </w:rPr>
            </w:pPr>
            <w:r w:rsidRPr="00CE68EA">
              <w:rPr>
                <w:rFonts w:eastAsia="Times New Roman" w:cstheme="minorHAnsi"/>
                <w:sz w:val="22"/>
                <w:szCs w:val="22"/>
                <w:lang w:eastAsia="lv-LV"/>
              </w:rPr>
              <w:t>-43 015</w:t>
            </w:r>
          </w:p>
        </w:tc>
        <w:tc>
          <w:tcPr>
            <w:tcW w:w="1111" w:type="dxa"/>
            <w:noWrap/>
            <w:hideMark/>
          </w:tcPr>
          <w:p w14:paraId="349E2ADF" w14:textId="35152BDB" w:rsidR="00AA77E9" w:rsidRPr="00CE68EA" w:rsidRDefault="002E2718" w:rsidP="00AA77E9">
            <w:pPr>
              <w:spacing w:before="0"/>
              <w:jc w:val="center"/>
              <w:rPr>
                <w:rFonts w:eastAsia="Times New Roman" w:cstheme="minorHAnsi"/>
                <w:sz w:val="22"/>
                <w:szCs w:val="22"/>
                <w:lang w:eastAsia="lv-LV"/>
              </w:rPr>
            </w:pPr>
            <w:r w:rsidRPr="00CE68EA">
              <w:rPr>
                <w:rFonts w:eastAsia="Times New Roman" w:cstheme="minorHAnsi"/>
                <w:sz w:val="22"/>
                <w:szCs w:val="22"/>
                <w:lang w:eastAsia="lv-LV"/>
              </w:rPr>
              <w:t>-68,15</w:t>
            </w:r>
            <w:r w:rsidR="00AA77E9" w:rsidRPr="00CE68EA">
              <w:rPr>
                <w:rFonts w:eastAsia="Times New Roman" w:cstheme="minorHAnsi"/>
                <w:sz w:val="22"/>
                <w:szCs w:val="22"/>
                <w:lang w:eastAsia="lv-LV"/>
              </w:rPr>
              <w:t>%</w:t>
            </w:r>
          </w:p>
        </w:tc>
      </w:tr>
      <w:tr w:rsidR="00AA77E9" w:rsidRPr="00CE68EA" w14:paraId="4FF45A30" w14:textId="77777777" w:rsidTr="002E2718">
        <w:trPr>
          <w:trHeight w:val="315"/>
        </w:trPr>
        <w:tc>
          <w:tcPr>
            <w:tcW w:w="1975" w:type="dxa"/>
            <w:noWrap/>
            <w:hideMark/>
          </w:tcPr>
          <w:p w14:paraId="4145AD66" w14:textId="77777777" w:rsidR="00AA77E9" w:rsidRPr="00CE68EA" w:rsidRDefault="00AA77E9" w:rsidP="00AA77E9">
            <w:pPr>
              <w:spacing w:before="0"/>
              <w:jc w:val="left"/>
              <w:rPr>
                <w:rFonts w:eastAsia="Times New Roman" w:cstheme="minorHAnsi"/>
                <w:color w:val="000000"/>
                <w:sz w:val="22"/>
                <w:szCs w:val="22"/>
                <w:lang w:eastAsia="lv-LV"/>
              </w:rPr>
            </w:pPr>
            <w:r w:rsidRPr="00CE68EA">
              <w:rPr>
                <w:rFonts w:eastAsia="Times New Roman" w:cstheme="minorHAnsi"/>
                <w:color w:val="000000"/>
                <w:sz w:val="22"/>
                <w:szCs w:val="22"/>
                <w:lang w:eastAsia="lv-LV"/>
              </w:rPr>
              <w:lastRenderedPageBreak/>
              <w:t>Peļņa vai zaudējumi</w:t>
            </w:r>
          </w:p>
        </w:tc>
        <w:tc>
          <w:tcPr>
            <w:tcW w:w="1140" w:type="dxa"/>
            <w:noWrap/>
            <w:hideMark/>
          </w:tcPr>
          <w:p w14:paraId="2919EF3C" w14:textId="110E3A20" w:rsidR="00AA77E9" w:rsidRPr="00CE68EA" w:rsidRDefault="00F836BF" w:rsidP="00AA77E9">
            <w:pPr>
              <w:spacing w:before="0"/>
              <w:jc w:val="right"/>
              <w:rPr>
                <w:rFonts w:eastAsia="Times New Roman" w:cstheme="minorHAnsi"/>
                <w:sz w:val="22"/>
                <w:szCs w:val="22"/>
                <w:lang w:eastAsia="lv-LV"/>
              </w:rPr>
            </w:pPr>
            <w:r w:rsidRPr="00CE68EA">
              <w:rPr>
                <w:rFonts w:eastAsia="Times New Roman" w:cstheme="minorHAnsi"/>
                <w:sz w:val="22"/>
                <w:szCs w:val="22"/>
                <w:lang w:eastAsia="lv-LV"/>
              </w:rPr>
              <w:t>-5 211</w:t>
            </w:r>
          </w:p>
        </w:tc>
        <w:tc>
          <w:tcPr>
            <w:tcW w:w="1140" w:type="dxa"/>
            <w:noWrap/>
            <w:hideMark/>
          </w:tcPr>
          <w:p w14:paraId="62FB87B8" w14:textId="5013FD57" w:rsidR="00AA77E9" w:rsidRPr="00CE68EA" w:rsidRDefault="00A6546D" w:rsidP="00AA77E9">
            <w:pPr>
              <w:spacing w:before="0"/>
              <w:jc w:val="right"/>
              <w:rPr>
                <w:rFonts w:eastAsia="Times New Roman" w:cstheme="minorHAnsi"/>
                <w:sz w:val="22"/>
                <w:szCs w:val="22"/>
                <w:lang w:eastAsia="lv-LV"/>
              </w:rPr>
            </w:pPr>
            <w:r w:rsidRPr="00CE68EA">
              <w:rPr>
                <w:rFonts w:eastAsia="Times New Roman" w:cstheme="minorHAnsi"/>
                <w:sz w:val="22"/>
                <w:szCs w:val="22"/>
                <w:lang w:eastAsia="lv-LV"/>
              </w:rPr>
              <w:t>3 052</w:t>
            </w:r>
          </w:p>
        </w:tc>
        <w:tc>
          <w:tcPr>
            <w:tcW w:w="1140" w:type="dxa"/>
            <w:noWrap/>
            <w:hideMark/>
          </w:tcPr>
          <w:p w14:paraId="66927D27" w14:textId="3187E629" w:rsidR="00AA77E9" w:rsidRPr="00CE68EA" w:rsidRDefault="00A6546D" w:rsidP="00AA77E9">
            <w:pPr>
              <w:spacing w:before="0"/>
              <w:jc w:val="right"/>
              <w:rPr>
                <w:rFonts w:eastAsia="Times New Roman" w:cstheme="minorHAnsi"/>
                <w:sz w:val="22"/>
                <w:szCs w:val="22"/>
                <w:lang w:eastAsia="lv-LV"/>
              </w:rPr>
            </w:pPr>
            <w:r w:rsidRPr="00CE68EA">
              <w:rPr>
                <w:rFonts w:eastAsia="Times New Roman" w:cstheme="minorHAnsi"/>
                <w:sz w:val="22"/>
                <w:szCs w:val="22"/>
                <w:lang w:eastAsia="lv-LV"/>
              </w:rPr>
              <w:t>-59 524</w:t>
            </w:r>
          </w:p>
        </w:tc>
        <w:tc>
          <w:tcPr>
            <w:tcW w:w="1116" w:type="dxa"/>
            <w:noWrap/>
            <w:hideMark/>
          </w:tcPr>
          <w:p w14:paraId="1CD81CCF" w14:textId="2F22CF97" w:rsidR="00AA77E9" w:rsidRPr="00CE68EA" w:rsidRDefault="00D76F78" w:rsidP="00AA77E9">
            <w:pPr>
              <w:spacing w:before="0"/>
              <w:jc w:val="right"/>
              <w:rPr>
                <w:rFonts w:eastAsia="Times New Roman" w:cstheme="minorHAnsi"/>
                <w:sz w:val="22"/>
                <w:szCs w:val="22"/>
                <w:lang w:eastAsia="lv-LV"/>
              </w:rPr>
            </w:pPr>
            <w:r w:rsidRPr="00CE68EA">
              <w:rPr>
                <w:rFonts w:eastAsia="Times New Roman" w:cstheme="minorHAnsi"/>
                <w:sz w:val="22"/>
                <w:szCs w:val="22"/>
                <w:lang w:eastAsia="lv-LV"/>
              </w:rPr>
              <w:t>-54 303</w:t>
            </w:r>
          </w:p>
        </w:tc>
        <w:tc>
          <w:tcPr>
            <w:tcW w:w="1206" w:type="dxa"/>
            <w:noWrap/>
            <w:hideMark/>
          </w:tcPr>
          <w:p w14:paraId="29D5EA4C" w14:textId="01326AC2" w:rsidR="00AA77E9" w:rsidRPr="00CE68EA" w:rsidRDefault="00AA77E9" w:rsidP="00D76F78">
            <w:pPr>
              <w:spacing w:before="0"/>
              <w:jc w:val="center"/>
              <w:rPr>
                <w:rFonts w:eastAsia="Times New Roman" w:cstheme="minorHAnsi"/>
                <w:sz w:val="22"/>
                <w:szCs w:val="22"/>
                <w:lang w:eastAsia="lv-LV"/>
              </w:rPr>
            </w:pPr>
            <w:r w:rsidRPr="00CE68EA">
              <w:rPr>
                <w:rFonts w:eastAsia="Times New Roman" w:cstheme="minorHAnsi"/>
                <w:sz w:val="22"/>
                <w:szCs w:val="22"/>
                <w:lang w:eastAsia="lv-LV"/>
              </w:rPr>
              <w:t>-</w:t>
            </w:r>
            <w:r w:rsidR="00D76F78" w:rsidRPr="00CE68EA">
              <w:rPr>
                <w:rFonts w:eastAsia="Times New Roman" w:cstheme="minorHAnsi"/>
                <w:sz w:val="22"/>
                <w:szCs w:val="22"/>
                <w:lang w:eastAsia="lv-LV"/>
              </w:rPr>
              <w:t>1042.28%</w:t>
            </w:r>
          </w:p>
        </w:tc>
        <w:tc>
          <w:tcPr>
            <w:tcW w:w="1090" w:type="dxa"/>
            <w:noWrap/>
            <w:hideMark/>
          </w:tcPr>
          <w:p w14:paraId="0E8A28D3" w14:textId="542CB18B" w:rsidR="00AA77E9" w:rsidRPr="00CE68EA" w:rsidRDefault="002E2718" w:rsidP="00AA77E9">
            <w:pPr>
              <w:spacing w:before="0"/>
              <w:jc w:val="right"/>
              <w:rPr>
                <w:rFonts w:eastAsia="Times New Roman" w:cstheme="minorHAnsi"/>
                <w:sz w:val="22"/>
                <w:szCs w:val="22"/>
                <w:lang w:eastAsia="lv-LV"/>
              </w:rPr>
            </w:pPr>
            <w:r w:rsidRPr="00CE68EA">
              <w:rPr>
                <w:rFonts w:eastAsia="Times New Roman" w:cstheme="minorHAnsi"/>
                <w:sz w:val="22"/>
                <w:szCs w:val="22"/>
                <w:lang w:eastAsia="lv-LV"/>
              </w:rPr>
              <w:t>-62 576</w:t>
            </w:r>
          </w:p>
        </w:tc>
        <w:tc>
          <w:tcPr>
            <w:tcW w:w="1111" w:type="dxa"/>
            <w:noWrap/>
            <w:hideMark/>
          </w:tcPr>
          <w:p w14:paraId="654CD781" w14:textId="06B09BB3" w:rsidR="00AA77E9" w:rsidRPr="00CE68EA" w:rsidRDefault="002E2718" w:rsidP="00AA77E9">
            <w:pPr>
              <w:spacing w:before="0"/>
              <w:jc w:val="center"/>
              <w:rPr>
                <w:rFonts w:eastAsia="Times New Roman" w:cstheme="minorHAnsi"/>
                <w:sz w:val="22"/>
                <w:szCs w:val="22"/>
                <w:lang w:eastAsia="lv-LV"/>
              </w:rPr>
            </w:pPr>
            <w:r w:rsidRPr="00CE68EA">
              <w:rPr>
                <w:rFonts w:eastAsia="Times New Roman" w:cstheme="minorHAnsi"/>
                <w:sz w:val="22"/>
                <w:szCs w:val="22"/>
                <w:lang w:eastAsia="lv-LV"/>
              </w:rPr>
              <w:t>-2050,3</w:t>
            </w:r>
            <w:r w:rsidR="00AA77E9" w:rsidRPr="00CE68EA">
              <w:rPr>
                <w:rFonts w:eastAsia="Times New Roman" w:cstheme="minorHAnsi"/>
                <w:sz w:val="22"/>
                <w:szCs w:val="22"/>
                <w:lang w:eastAsia="lv-LV"/>
              </w:rPr>
              <w:t>%</w:t>
            </w:r>
          </w:p>
        </w:tc>
      </w:tr>
      <w:tr w:rsidR="00AA77E9" w:rsidRPr="00CE68EA" w14:paraId="15E08A30" w14:textId="77777777" w:rsidTr="002E2718">
        <w:trPr>
          <w:trHeight w:val="315"/>
        </w:trPr>
        <w:tc>
          <w:tcPr>
            <w:tcW w:w="1975" w:type="dxa"/>
            <w:noWrap/>
            <w:hideMark/>
          </w:tcPr>
          <w:p w14:paraId="6C34B39C" w14:textId="77777777" w:rsidR="00AA77E9" w:rsidRPr="00CE68EA" w:rsidRDefault="00AA77E9" w:rsidP="00AA77E9">
            <w:pPr>
              <w:spacing w:before="0"/>
              <w:jc w:val="left"/>
              <w:rPr>
                <w:rFonts w:eastAsia="Times New Roman" w:cstheme="minorHAnsi"/>
                <w:color w:val="000000"/>
                <w:sz w:val="22"/>
                <w:szCs w:val="22"/>
                <w:lang w:eastAsia="lv-LV"/>
              </w:rPr>
            </w:pPr>
            <w:r w:rsidRPr="00CE68EA">
              <w:rPr>
                <w:rFonts w:eastAsia="Times New Roman" w:cstheme="minorHAnsi"/>
                <w:color w:val="000000"/>
                <w:sz w:val="22"/>
                <w:szCs w:val="22"/>
                <w:lang w:eastAsia="lv-LV"/>
              </w:rPr>
              <w:t>Plānotie ieguldījumi</w:t>
            </w:r>
          </w:p>
        </w:tc>
        <w:tc>
          <w:tcPr>
            <w:tcW w:w="1140" w:type="dxa"/>
            <w:noWrap/>
            <w:hideMark/>
          </w:tcPr>
          <w:p w14:paraId="3CDB4F26" w14:textId="5919E41B" w:rsidR="00AA77E9" w:rsidRPr="00CE68EA" w:rsidRDefault="00F836BF" w:rsidP="00AA77E9">
            <w:pPr>
              <w:spacing w:before="0"/>
              <w:jc w:val="right"/>
              <w:rPr>
                <w:rFonts w:eastAsia="Times New Roman" w:cstheme="minorHAnsi"/>
                <w:sz w:val="22"/>
                <w:szCs w:val="22"/>
                <w:lang w:eastAsia="lv-LV"/>
              </w:rPr>
            </w:pPr>
            <w:r w:rsidRPr="00CE68EA">
              <w:rPr>
                <w:rFonts w:eastAsia="Times New Roman" w:cstheme="minorHAnsi"/>
                <w:sz w:val="22"/>
                <w:szCs w:val="22"/>
                <w:lang w:eastAsia="lv-LV"/>
              </w:rPr>
              <w:t>544</w:t>
            </w:r>
          </w:p>
        </w:tc>
        <w:tc>
          <w:tcPr>
            <w:tcW w:w="1140" w:type="dxa"/>
            <w:noWrap/>
            <w:hideMark/>
          </w:tcPr>
          <w:p w14:paraId="447838CD" w14:textId="356BF655" w:rsidR="00AA77E9" w:rsidRPr="00CE68EA" w:rsidRDefault="00A6546D" w:rsidP="00AA77E9">
            <w:pPr>
              <w:spacing w:before="0"/>
              <w:jc w:val="right"/>
              <w:rPr>
                <w:rFonts w:eastAsia="Times New Roman" w:cstheme="minorHAnsi"/>
                <w:sz w:val="22"/>
                <w:szCs w:val="22"/>
                <w:lang w:eastAsia="lv-LV"/>
              </w:rPr>
            </w:pPr>
            <w:r w:rsidRPr="00CE68EA">
              <w:rPr>
                <w:rFonts w:eastAsia="Times New Roman" w:cstheme="minorHAnsi"/>
                <w:sz w:val="22"/>
                <w:szCs w:val="22"/>
                <w:lang w:eastAsia="lv-LV"/>
              </w:rPr>
              <w:t>0</w:t>
            </w:r>
          </w:p>
        </w:tc>
        <w:tc>
          <w:tcPr>
            <w:tcW w:w="1140" w:type="dxa"/>
            <w:noWrap/>
            <w:hideMark/>
          </w:tcPr>
          <w:p w14:paraId="5327DBB3" w14:textId="129B989F" w:rsidR="00AA77E9" w:rsidRPr="00CE68EA" w:rsidRDefault="00A6546D" w:rsidP="00AA77E9">
            <w:pPr>
              <w:spacing w:before="0"/>
              <w:jc w:val="right"/>
              <w:rPr>
                <w:rFonts w:eastAsia="Times New Roman" w:cstheme="minorHAnsi"/>
                <w:sz w:val="22"/>
                <w:szCs w:val="22"/>
                <w:lang w:eastAsia="lv-LV"/>
              </w:rPr>
            </w:pPr>
            <w:r w:rsidRPr="00CE68EA">
              <w:rPr>
                <w:rFonts w:eastAsia="Times New Roman" w:cstheme="minorHAnsi"/>
                <w:sz w:val="22"/>
                <w:szCs w:val="22"/>
                <w:lang w:eastAsia="lv-LV"/>
              </w:rPr>
              <w:t>0</w:t>
            </w:r>
          </w:p>
        </w:tc>
        <w:tc>
          <w:tcPr>
            <w:tcW w:w="1116" w:type="dxa"/>
            <w:noWrap/>
            <w:hideMark/>
          </w:tcPr>
          <w:p w14:paraId="3B2449F4" w14:textId="0C4A0AC5" w:rsidR="00AA77E9" w:rsidRPr="00CE68EA" w:rsidRDefault="00D76F78" w:rsidP="00AA77E9">
            <w:pPr>
              <w:spacing w:before="0"/>
              <w:jc w:val="right"/>
              <w:rPr>
                <w:rFonts w:eastAsia="Times New Roman" w:cstheme="minorHAnsi"/>
                <w:sz w:val="22"/>
                <w:szCs w:val="22"/>
                <w:lang w:eastAsia="lv-LV"/>
              </w:rPr>
            </w:pPr>
            <w:r w:rsidRPr="00CE68EA">
              <w:rPr>
                <w:rFonts w:eastAsia="Times New Roman" w:cstheme="minorHAnsi"/>
                <w:sz w:val="22"/>
                <w:szCs w:val="22"/>
                <w:lang w:eastAsia="lv-LV"/>
              </w:rPr>
              <w:t>86 687</w:t>
            </w:r>
          </w:p>
        </w:tc>
        <w:tc>
          <w:tcPr>
            <w:tcW w:w="1206" w:type="dxa"/>
            <w:noWrap/>
            <w:hideMark/>
          </w:tcPr>
          <w:p w14:paraId="7A35ED01" w14:textId="254530E0" w:rsidR="00AA77E9" w:rsidRPr="00CE68EA" w:rsidRDefault="002E2718" w:rsidP="00AA77E9">
            <w:pPr>
              <w:spacing w:before="0"/>
              <w:jc w:val="center"/>
              <w:rPr>
                <w:rFonts w:eastAsia="Times New Roman" w:cstheme="minorHAnsi"/>
                <w:sz w:val="22"/>
                <w:szCs w:val="22"/>
                <w:lang w:eastAsia="lv-LV"/>
              </w:rPr>
            </w:pPr>
            <w:r w:rsidRPr="00CE68EA">
              <w:rPr>
                <w:rFonts w:eastAsia="Times New Roman" w:cstheme="minorHAnsi"/>
                <w:sz w:val="22"/>
                <w:szCs w:val="22"/>
                <w:lang w:eastAsia="lv-LV"/>
              </w:rPr>
              <w:t>15935,11</w:t>
            </w:r>
            <w:r w:rsidR="00AA77E9" w:rsidRPr="00CE68EA">
              <w:rPr>
                <w:rFonts w:eastAsia="Times New Roman" w:cstheme="minorHAnsi"/>
                <w:sz w:val="22"/>
                <w:szCs w:val="22"/>
                <w:lang w:eastAsia="lv-LV"/>
              </w:rPr>
              <w:t>%</w:t>
            </w:r>
          </w:p>
        </w:tc>
        <w:tc>
          <w:tcPr>
            <w:tcW w:w="1090" w:type="dxa"/>
            <w:noWrap/>
            <w:hideMark/>
          </w:tcPr>
          <w:p w14:paraId="01D237A1" w14:textId="27A5CECD" w:rsidR="00AA77E9" w:rsidRPr="00CE68EA" w:rsidRDefault="002E2718" w:rsidP="00AA77E9">
            <w:pPr>
              <w:spacing w:before="0"/>
              <w:jc w:val="right"/>
              <w:rPr>
                <w:rFonts w:eastAsia="Times New Roman" w:cstheme="minorHAnsi"/>
                <w:sz w:val="22"/>
                <w:szCs w:val="22"/>
                <w:lang w:eastAsia="lv-LV"/>
              </w:rPr>
            </w:pPr>
            <w:r w:rsidRPr="00CE68EA">
              <w:rPr>
                <w:rFonts w:eastAsia="Times New Roman" w:cstheme="minorHAnsi"/>
                <w:sz w:val="22"/>
                <w:szCs w:val="22"/>
                <w:lang w:eastAsia="lv-LV"/>
              </w:rPr>
              <w:t>87231</w:t>
            </w:r>
          </w:p>
        </w:tc>
        <w:tc>
          <w:tcPr>
            <w:tcW w:w="1111" w:type="dxa"/>
            <w:noWrap/>
            <w:hideMark/>
          </w:tcPr>
          <w:p w14:paraId="78ACBD21" w14:textId="5CB26063" w:rsidR="00AA77E9" w:rsidRPr="00CE68EA" w:rsidRDefault="00AA77E9" w:rsidP="002E2718">
            <w:pPr>
              <w:pStyle w:val="Sarakstarindkopa"/>
              <w:numPr>
                <w:ilvl w:val="0"/>
                <w:numId w:val="8"/>
              </w:numPr>
              <w:spacing w:before="0"/>
              <w:jc w:val="center"/>
              <w:rPr>
                <w:rFonts w:eastAsia="Times New Roman" w:cstheme="minorHAnsi"/>
                <w:sz w:val="22"/>
                <w:szCs w:val="22"/>
                <w:lang w:eastAsia="lv-LV"/>
              </w:rPr>
            </w:pPr>
          </w:p>
        </w:tc>
      </w:tr>
      <w:tr w:rsidR="00AA77E9" w:rsidRPr="00CE68EA" w14:paraId="35AB3D5C" w14:textId="77777777" w:rsidTr="002E2718">
        <w:trPr>
          <w:trHeight w:val="315"/>
        </w:trPr>
        <w:tc>
          <w:tcPr>
            <w:tcW w:w="1975" w:type="dxa"/>
            <w:hideMark/>
          </w:tcPr>
          <w:p w14:paraId="62220CE8" w14:textId="6392BBC8" w:rsidR="00AA77E9" w:rsidRPr="00CE68EA" w:rsidRDefault="00AA77E9" w:rsidP="00AA77E9">
            <w:pPr>
              <w:spacing w:before="0"/>
              <w:jc w:val="left"/>
              <w:rPr>
                <w:rFonts w:eastAsia="Times New Roman" w:cstheme="minorHAnsi"/>
                <w:sz w:val="22"/>
                <w:szCs w:val="22"/>
                <w:lang w:eastAsia="lv-LV"/>
              </w:rPr>
            </w:pPr>
            <w:r w:rsidRPr="00CE68EA">
              <w:rPr>
                <w:rFonts w:eastAsia="Times New Roman" w:cstheme="minorHAnsi"/>
                <w:sz w:val="22"/>
                <w:szCs w:val="22"/>
                <w:lang w:eastAsia="lv-LV"/>
              </w:rPr>
              <w:t>Naudas atlikums perioda beigās</w:t>
            </w:r>
          </w:p>
        </w:tc>
        <w:tc>
          <w:tcPr>
            <w:tcW w:w="1140" w:type="dxa"/>
            <w:noWrap/>
            <w:hideMark/>
          </w:tcPr>
          <w:p w14:paraId="4F560655" w14:textId="676DAFB9" w:rsidR="00AA77E9" w:rsidRPr="00CE68EA" w:rsidRDefault="00F836BF" w:rsidP="00AA77E9">
            <w:pPr>
              <w:spacing w:before="0"/>
              <w:jc w:val="right"/>
              <w:rPr>
                <w:rFonts w:eastAsia="Times New Roman" w:cstheme="minorHAnsi"/>
                <w:sz w:val="22"/>
                <w:szCs w:val="22"/>
                <w:lang w:eastAsia="lv-LV"/>
              </w:rPr>
            </w:pPr>
            <w:r w:rsidRPr="00CE68EA">
              <w:rPr>
                <w:rFonts w:eastAsia="Times New Roman" w:cstheme="minorHAnsi"/>
                <w:sz w:val="22"/>
                <w:szCs w:val="22"/>
                <w:lang w:eastAsia="lv-LV"/>
              </w:rPr>
              <w:t>1 054 224</w:t>
            </w:r>
          </w:p>
        </w:tc>
        <w:tc>
          <w:tcPr>
            <w:tcW w:w="1140" w:type="dxa"/>
            <w:noWrap/>
            <w:hideMark/>
          </w:tcPr>
          <w:p w14:paraId="323DD3DB" w14:textId="1A50A33D" w:rsidR="00AA77E9" w:rsidRPr="00CE68EA" w:rsidRDefault="00A6546D" w:rsidP="00AA77E9">
            <w:pPr>
              <w:spacing w:before="0"/>
              <w:jc w:val="right"/>
              <w:rPr>
                <w:rFonts w:eastAsia="Times New Roman" w:cstheme="minorHAnsi"/>
                <w:sz w:val="22"/>
                <w:szCs w:val="22"/>
                <w:lang w:eastAsia="lv-LV"/>
              </w:rPr>
            </w:pPr>
            <w:r w:rsidRPr="00CE68EA">
              <w:rPr>
                <w:rFonts w:eastAsia="Times New Roman" w:cstheme="minorHAnsi"/>
                <w:sz w:val="22"/>
                <w:szCs w:val="22"/>
                <w:lang w:eastAsia="lv-LV"/>
              </w:rPr>
              <w:t>1 036 107</w:t>
            </w:r>
          </w:p>
        </w:tc>
        <w:tc>
          <w:tcPr>
            <w:tcW w:w="1140" w:type="dxa"/>
            <w:noWrap/>
            <w:hideMark/>
          </w:tcPr>
          <w:p w14:paraId="08F53E65" w14:textId="781F2E9C" w:rsidR="00AA77E9" w:rsidRPr="00CE68EA" w:rsidRDefault="00A6546D" w:rsidP="00AA77E9">
            <w:pPr>
              <w:spacing w:before="0"/>
              <w:jc w:val="right"/>
              <w:rPr>
                <w:rFonts w:eastAsia="Times New Roman" w:cstheme="minorHAnsi"/>
                <w:sz w:val="22"/>
                <w:szCs w:val="22"/>
                <w:lang w:eastAsia="lv-LV"/>
              </w:rPr>
            </w:pPr>
            <w:r w:rsidRPr="00CE68EA">
              <w:rPr>
                <w:rFonts w:eastAsia="Times New Roman" w:cstheme="minorHAnsi"/>
                <w:sz w:val="22"/>
                <w:szCs w:val="22"/>
                <w:lang w:eastAsia="lv-LV"/>
              </w:rPr>
              <w:t>933 631</w:t>
            </w:r>
          </w:p>
        </w:tc>
        <w:tc>
          <w:tcPr>
            <w:tcW w:w="1116" w:type="dxa"/>
            <w:noWrap/>
            <w:hideMark/>
          </w:tcPr>
          <w:p w14:paraId="43676742" w14:textId="61468235" w:rsidR="00AA77E9" w:rsidRPr="00CE68EA" w:rsidRDefault="00D76F78" w:rsidP="00AA77E9">
            <w:pPr>
              <w:spacing w:before="0"/>
              <w:jc w:val="right"/>
              <w:rPr>
                <w:rFonts w:eastAsia="Times New Roman" w:cstheme="minorHAnsi"/>
                <w:sz w:val="22"/>
                <w:szCs w:val="22"/>
                <w:lang w:eastAsia="lv-LV"/>
              </w:rPr>
            </w:pPr>
            <w:r w:rsidRPr="00CE68EA">
              <w:rPr>
                <w:rFonts w:eastAsia="Times New Roman" w:cstheme="minorHAnsi"/>
                <w:sz w:val="22"/>
                <w:szCs w:val="22"/>
                <w:lang w:eastAsia="lv-LV"/>
              </w:rPr>
              <w:t>327 493</w:t>
            </w:r>
          </w:p>
        </w:tc>
        <w:tc>
          <w:tcPr>
            <w:tcW w:w="1206" w:type="dxa"/>
            <w:noWrap/>
            <w:hideMark/>
          </w:tcPr>
          <w:p w14:paraId="70F11C26" w14:textId="383B7129" w:rsidR="00AA77E9" w:rsidRPr="00CE68EA" w:rsidRDefault="002E2718" w:rsidP="00AA77E9">
            <w:pPr>
              <w:spacing w:before="0"/>
              <w:jc w:val="center"/>
              <w:rPr>
                <w:rFonts w:eastAsia="Times New Roman" w:cstheme="minorHAnsi"/>
                <w:sz w:val="22"/>
                <w:szCs w:val="22"/>
                <w:lang w:eastAsia="lv-LV"/>
              </w:rPr>
            </w:pPr>
            <w:r w:rsidRPr="00CE68EA">
              <w:rPr>
                <w:rFonts w:eastAsia="Times New Roman" w:cstheme="minorHAnsi"/>
                <w:sz w:val="22"/>
                <w:szCs w:val="22"/>
                <w:lang w:eastAsia="lv-LV"/>
              </w:rPr>
              <w:t>-11,44</w:t>
            </w:r>
            <w:r w:rsidR="00AA77E9" w:rsidRPr="00CE68EA">
              <w:rPr>
                <w:rFonts w:eastAsia="Times New Roman" w:cstheme="minorHAnsi"/>
                <w:sz w:val="22"/>
                <w:szCs w:val="22"/>
                <w:lang w:eastAsia="lv-LV"/>
              </w:rPr>
              <w:t>%</w:t>
            </w:r>
          </w:p>
        </w:tc>
        <w:tc>
          <w:tcPr>
            <w:tcW w:w="1090" w:type="dxa"/>
            <w:noWrap/>
            <w:hideMark/>
          </w:tcPr>
          <w:p w14:paraId="6CD1E174" w14:textId="36D851AB" w:rsidR="00AA77E9" w:rsidRPr="00CE68EA" w:rsidRDefault="002E2718" w:rsidP="00AA77E9">
            <w:pPr>
              <w:spacing w:before="0"/>
              <w:jc w:val="right"/>
              <w:rPr>
                <w:rFonts w:eastAsia="Times New Roman" w:cstheme="minorHAnsi"/>
                <w:sz w:val="22"/>
                <w:szCs w:val="22"/>
                <w:lang w:eastAsia="lv-LV"/>
              </w:rPr>
            </w:pPr>
            <w:r w:rsidRPr="00CE68EA">
              <w:rPr>
                <w:rFonts w:eastAsia="Times New Roman" w:cstheme="minorHAnsi"/>
                <w:sz w:val="22"/>
                <w:szCs w:val="22"/>
                <w:lang w:eastAsia="lv-LV"/>
              </w:rPr>
              <w:t>-102476</w:t>
            </w:r>
          </w:p>
        </w:tc>
        <w:tc>
          <w:tcPr>
            <w:tcW w:w="1111" w:type="dxa"/>
            <w:noWrap/>
            <w:hideMark/>
          </w:tcPr>
          <w:p w14:paraId="4AC2FE86" w14:textId="1EBD0F38" w:rsidR="00AA77E9" w:rsidRPr="00CE68EA" w:rsidRDefault="002E2718" w:rsidP="00AA77E9">
            <w:pPr>
              <w:spacing w:before="0"/>
              <w:jc w:val="center"/>
              <w:rPr>
                <w:rFonts w:eastAsia="Times New Roman" w:cstheme="minorHAnsi"/>
                <w:sz w:val="22"/>
                <w:szCs w:val="22"/>
                <w:lang w:eastAsia="lv-LV"/>
              </w:rPr>
            </w:pPr>
            <w:r w:rsidRPr="00CE68EA">
              <w:rPr>
                <w:rFonts w:eastAsia="Times New Roman" w:cstheme="minorHAnsi"/>
                <w:sz w:val="22"/>
                <w:szCs w:val="22"/>
                <w:lang w:eastAsia="lv-LV"/>
              </w:rPr>
              <w:t>-9,89</w:t>
            </w:r>
            <w:r w:rsidR="00AA77E9" w:rsidRPr="00CE68EA">
              <w:rPr>
                <w:rFonts w:eastAsia="Times New Roman" w:cstheme="minorHAnsi"/>
                <w:sz w:val="22"/>
                <w:szCs w:val="22"/>
                <w:lang w:eastAsia="lv-LV"/>
              </w:rPr>
              <w:t>%</w:t>
            </w:r>
          </w:p>
        </w:tc>
      </w:tr>
    </w:tbl>
    <w:p w14:paraId="7FDE72F4" w14:textId="60194224" w:rsidR="00CB3193" w:rsidRPr="00CE68EA" w:rsidRDefault="0023746B" w:rsidP="00CB3193">
      <w:pPr>
        <w:rPr>
          <w:rFonts w:cstheme="minorHAnsi"/>
          <w:color w:val="FF0000"/>
        </w:rPr>
      </w:pPr>
      <w:r w:rsidRPr="00CE68EA">
        <w:rPr>
          <w:rFonts w:cstheme="minorHAnsi"/>
        </w:rPr>
        <w:t>Salīdzinot ar 202</w:t>
      </w:r>
      <w:r w:rsidR="00C4798F" w:rsidRPr="00CE68EA">
        <w:rPr>
          <w:rFonts w:cstheme="minorHAnsi"/>
        </w:rPr>
        <w:t>4</w:t>
      </w:r>
      <w:r w:rsidRPr="00CE68EA">
        <w:rPr>
          <w:rFonts w:cstheme="minorHAnsi"/>
        </w:rPr>
        <w:t>.gadu</w:t>
      </w:r>
      <w:r w:rsidR="00B461BC" w:rsidRPr="00CE68EA">
        <w:rPr>
          <w:rFonts w:cstheme="minorHAnsi"/>
        </w:rPr>
        <w:t xml:space="preserve"> 1.cet.</w:t>
      </w:r>
      <w:r w:rsidRPr="00CE68EA">
        <w:rPr>
          <w:rFonts w:cstheme="minorHAnsi"/>
        </w:rPr>
        <w:t>, 202</w:t>
      </w:r>
      <w:r w:rsidR="00C4798F" w:rsidRPr="00CE68EA">
        <w:rPr>
          <w:rFonts w:cstheme="minorHAnsi"/>
        </w:rPr>
        <w:t>5</w:t>
      </w:r>
      <w:r w:rsidRPr="00CE68EA">
        <w:rPr>
          <w:rFonts w:cstheme="minorHAnsi"/>
        </w:rPr>
        <w:t>.gadā</w:t>
      </w:r>
      <w:r w:rsidR="00B461BC" w:rsidRPr="00CE68EA">
        <w:rPr>
          <w:rFonts w:cstheme="minorHAnsi"/>
        </w:rPr>
        <w:t xml:space="preserve"> 1.cet.</w:t>
      </w:r>
      <w:r w:rsidRPr="00CE68EA">
        <w:rPr>
          <w:rFonts w:cstheme="minorHAnsi"/>
        </w:rPr>
        <w:t xml:space="preserve"> izdevumu pieaugums bija straujāks par ieņēmumu pieaugumu, tomēr tas jau tika </w:t>
      </w:r>
      <w:r w:rsidR="00C4798F" w:rsidRPr="00CE68EA">
        <w:rPr>
          <w:rFonts w:cstheme="minorHAnsi"/>
        </w:rPr>
        <w:t xml:space="preserve">paredzēts ieviešot narkoloģijas profila pakalpojumus un tika norādīts </w:t>
      </w:r>
      <w:r w:rsidRPr="00CE68EA">
        <w:rPr>
          <w:rFonts w:cstheme="minorHAnsi"/>
        </w:rPr>
        <w:t>202</w:t>
      </w:r>
      <w:r w:rsidR="00C4798F" w:rsidRPr="00CE68EA">
        <w:rPr>
          <w:rFonts w:cstheme="minorHAnsi"/>
        </w:rPr>
        <w:t>5</w:t>
      </w:r>
      <w:r w:rsidRPr="00CE68EA">
        <w:rPr>
          <w:rFonts w:cstheme="minorHAnsi"/>
        </w:rPr>
        <w:t xml:space="preserve">.gada budžetā. </w:t>
      </w:r>
      <w:r w:rsidR="00FB7031" w:rsidRPr="00CE68EA">
        <w:rPr>
          <w:rFonts w:cstheme="minorHAnsi"/>
        </w:rPr>
        <w:t xml:space="preserve">Slimnīcas bruto peļņa ir </w:t>
      </w:r>
      <w:r w:rsidR="00B461BC" w:rsidRPr="00CE68EA">
        <w:rPr>
          <w:rFonts w:cstheme="minorHAnsi"/>
        </w:rPr>
        <w:t>20,1</w:t>
      </w:r>
      <w:r w:rsidR="00FB7031" w:rsidRPr="00CE68EA">
        <w:rPr>
          <w:rFonts w:cstheme="minorHAnsi"/>
        </w:rPr>
        <w:t xml:space="preserve"> tūkstoši EUR, kas ir par </w:t>
      </w:r>
      <w:r w:rsidR="00B461BC" w:rsidRPr="00CE68EA">
        <w:rPr>
          <w:rFonts w:cstheme="minorHAnsi"/>
        </w:rPr>
        <w:t>68</w:t>
      </w:r>
      <w:r w:rsidR="00FB7031" w:rsidRPr="00CE68EA">
        <w:rPr>
          <w:rFonts w:cstheme="minorHAnsi"/>
        </w:rPr>
        <w:t xml:space="preserve">% mazāk nekā plānots. </w:t>
      </w:r>
      <w:r w:rsidR="00CB3193" w:rsidRPr="00CE68EA">
        <w:rPr>
          <w:rFonts w:cstheme="minorHAnsi"/>
        </w:rPr>
        <w:t xml:space="preserve">Kopumā pārskata perioda saimnieciskās darbības rezultāts ir </w:t>
      </w:r>
      <w:r w:rsidR="00B461BC" w:rsidRPr="00CE68EA">
        <w:rPr>
          <w:rFonts w:cstheme="minorHAnsi"/>
        </w:rPr>
        <w:t xml:space="preserve">zaudējumi </w:t>
      </w:r>
      <w:r w:rsidR="00CB3193" w:rsidRPr="00CE68EA">
        <w:rPr>
          <w:rFonts w:cstheme="minorHAnsi"/>
        </w:rPr>
        <w:t xml:space="preserve"> </w:t>
      </w:r>
      <w:r w:rsidR="00B461BC" w:rsidRPr="00CE68EA">
        <w:rPr>
          <w:rFonts w:cstheme="minorHAnsi"/>
        </w:rPr>
        <w:t>59,5</w:t>
      </w:r>
      <w:r w:rsidR="00CB3193" w:rsidRPr="00CE68EA">
        <w:rPr>
          <w:rFonts w:cstheme="minorHAnsi"/>
        </w:rPr>
        <w:t xml:space="preserve"> tūkstoši EUR apmērā.</w:t>
      </w:r>
      <w:r w:rsidR="00AA77E9" w:rsidRPr="00CE68EA">
        <w:rPr>
          <w:rFonts w:cstheme="minorHAnsi"/>
        </w:rPr>
        <w:t xml:space="preserve"> Naudas līdzekļu atlikums uz perioda beigām ir par </w:t>
      </w:r>
      <w:r w:rsidR="002E2718" w:rsidRPr="00CE68EA">
        <w:rPr>
          <w:rFonts w:cstheme="minorHAnsi"/>
        </w:rPr>
        <w:t>102,5</w:t>
      </w:r>
      <w:r w:rsidR="00AA77E9" w:rsidRPr="00CE68EA">
        <w:rPr>
          <w:rFonts w:cstheme="minorHAnsi"/>
        </w:rPr>
        <w:t xml:space="preserve"> tūkstošiem EUR </w:t>
      </w:r>
      <w:r w:rsidR="002E2718" w:rsidRPr="00CE68EA">
        <w:rPr>
          <w:rFonts w:cstheme="minorHAnsi"/>
        </w:rPr>
        <w:t xml:space="preserve">mazāk </w:t>
      </w:r>
      <w:r w:rsidR="00AA77E9" w:rsidRPr="00CE68EA">
        <w:rPr>
          <w:rFonts w:cstheme="minorHAnsi"/>
        </w:rPr>
        <w:t>nekā plānots</w:t>
      </w:r>
      <w:r w:rsidR="006B392E" w:rsidRPr="00CE68EA">
        <w:rPr>
          <w:rFonts w:cstheme="minorHAnsi"/>
        </w:rPr>
        <w:t>.</w:t>
      </w:r>
    </w:p>
    <w:p w14:paraId="4DF663B5" w14:textId="296A4EE5" w:rsidR="00C912BF" w:rsidRPr="00CE68EA" w:rsidRDefault="00C912BF" w:rsidP="00131E43">
      <w:pPr>
        <w:rPr>
          <w:rFonts w:cstheme="minorHAnsi"/>
        </w:rPr>
      </w:pPr>
      <w:r w:rsidRPr="00CE68EA">
        <w:rPr>
          <w:rFonts w:cstheme="minorHAnsi"/>
        </w:rPr>
        <w:t>Ieņēmumu sadalījums 202</w:t>
      </w:r>
      <w:r w:rsidR="00C4798F" w:rsidRPr="00CE68EA">
        <w:rPr>
          <w:rFonts w:cstheme="minorHAnsi"/>
        </w:rPr>
        <w:t>5</w:t>
      </w:r>
      <w:r w:rsidRPr="00CE68EA">
        <w:rPr>
          <w:rFonts w:cstheme="minorHAnsi"/>
        </w:rPr>
        <w:t>. gada</w:t>
      </w:r>
      <w:r w:rsidR="00C4798F" w:rsidRPr="00CE68EA">
        <w:rPr>
          <w:rFonts w:cstheme="minorHAnsi"/>
        </w:rPr>
        <w:t xml:space="preserve"> 3. mēnešiem</w:t>
      </w:r>
      <w:r w:rsidR="00A938F6" w:rsidRPr="00CE68EA">
        <w:rPr>
          <w:rFonts w:cstheme="minorHAnsi"/>
        </w:rPr>
        <w:t>:</w:t>
      </w:r>
    </w:p>
    <w:tbl>
      <w:tblPr>
        <w:tblStyle w:val="Reatabula1gaia-izclums2"/>
        <w:tblW w:w="9485" w:type="dxa"/>
        <w:tblLook w:val="0420" w:firstRow="1" w:lastRow="0" w:firstColumn="0" w:lastColumn="0" w:noHBand="0" w:noVBand="1"/>
      </w:tblPr>
      <w:tblGrid>
        <w:gridCol w:w="2255"/>
        <w:gridCol w:w="1140"/>
        <w:gridCol w:w="1140"/>
        <w:gridCol w:w="1140"/>
        <w:gridCol w:w="940"/>
        <w:gridCol w:w="944"/>
        <w:gridCol w:w="940"/>
        <w:gridCol w:w="986"/>
      </w:tblGrid>
      <w:tr w:rsidR="007F4A1A" w:rsidRPr="00CE68EA" w14:paraId="43184D96" w14:textId="77777777" w:rsidTr="007F4A1A">
        <w:trPr>
          <w:cnfStyle w:val="100000000000" w:firstRow="1" w:lastRow="0" w:firstColumn="0" w:lastColumn="0" w:oddVBand="0" w:evenVBand="0" w:oddHBand="0" w:evenHBand="0" w:firstRowFirstColumn="0" w:firstRowLastColumn="0" w:lastRowFirstColumn="0" w:lastRowLastColumn="0"/>
          <w:trHeight w:val="510"/>
          <w:tblHeader/>
        </w:trPr>
        <w:tc>
          <w:tcPr>
            <w:tcW w:w="2258" w:type="dxa"/>
            <w:vMerge w:val="restart"/>
            <w:hideMark/>
          </w:tcPr>
          <w:p w14:paraId="372B2AF3" w14:textId="77777777" w:rsidR="00A938F6" w:rsidRPr="00CE68EA" w:rsidRDefault="00A938F6" w:rsidP="00DD6EFE">
            <w:pPr>
              <w:spacing w:before="0"/>
              <w:jc w:val="center"/>
              <w:rPr>
                <w:rFonts w:eastAsia="Times New Roman" w:cstheme="minorHAnsi"/>
                <w:b w:val="0"/>
                <w:bCs w:val="0"/>
                <w:sz w:val="22"/>
                <w:szCs w:val="22"/>
                <w:lang w:eastAsia="lv-LV"/>
              </w:rPr>
            </w:pPr>
            <w:r w:rsidRPr="00CE68EA">
              <w:rPr>
                <w:rFonts w:eastAsia="Times New Roman" w:cstheme="minorHAnsi"/>
                <w:sz w:val="22"/>
                <w:szCs w:val="22"/>
                <w:lang w:eastAsia="lv-LV"/>
              </w:rPr>
              <w:t>Nosaukums/ Mērvienība</w:t>
            </w:r>
          </w:p>
        </w:tc>
        <w:tc>
          <w:tcPr>
            <w:tcW w:w="1140" w:type="dxa"/>
            <w:vMerge w:val="restart"/>
            <w:hideMark/>
          </w:tcPr>
          <w:p w14:paraId="0E1B6E5E" w14:textId="50958D26" w:rsidR="00A938F6" w:rsidRPr="00CE68EA" w:rsidRDefault="00A938F6" w:rsidP="00DD6EFE">
            <w:pPr>
              <w:spacing w:before="0"/>
              <w:jc w:val="center"/>
              <w:rPr>
                <w:rFonts w:eastAsia="Times New Roman" w:cstheme="minorHAnsi"/>
                <w:b w:val="0"/>
                <w:bCs w:val="0"/>
                <w:sz w:val="22"/>
                <w:szCs w:val="22"/>
                <w:lang w:eastAsia="lv-LV"/>
              </w:rPr>
            </w:pPr>
            <w:r w:rsidRPr="00CE68EA">
              <w:rPr>
                <w:rFonts w:eastAsia="Times New Roman" w:cstheme="minorHAnsi"/>
                <w:sz w:val="22"/>
                <w:szCs w:val="22"/>
                <w:lang w:eastAsia="lv-LV"/>
              </w:rPr>
              <w:t>Izpilde 202</w:t>
            </w:r>
            <w:r w:rsidR="006D2D85" w:rsidRPr="00CE68EA">
              <w:rPr>
                <w:rFonts w:eastAsia="Times New Roman" w:cstheme="minorHAnsi"/>
                <w:sz w:val="22"/>
                <w:szCs w:val="22"/>
                <w:lang w:eastAsia="lv-LV"/>
              </w:rPr>
              <w:t>4</w:t>
            </w:r>
            <w:r w:rsidRPr="00CE68EA">
              <w:rPr>
                <w:rFonts w:eastAsia="Times New Roman" w:cstheme="minorHAnsi"/>
                <w:sz w:val="22"/>
                <w:szCs w:val="22"/>
                <w:lang w:eastAsia="lv-LV"/>
              </w:rPr>
              <w:t>. gada</w:t>
            </w:r>
            <w:r w:rsidR="006D2D85" w:rsidRPr="00CE68EA">
              <w:rPr>
                <w:rFonts w:eastAsia="Times New Roman" w:cstheme="minorHAnsi"/>
                <w:sz w:val="22"/>
                <w:szCs w:val="22"/>
                <w:lang w:eastAsia="lv-LV"/>
              </w:rPr>
              <w:t xml:space="preserve"> 3 </w:t>
            </w:r>
            <w:proofErr w:type="spellStart"/>
            <w:r w:rsidR="006D2D85" w:rsidRPr="00CE68EA">
              <w:rPr>
                <w:rFonts w:eastAsia="Times New Roman" w:cstheme="minorHAnsi"/>
                <w:sz w:val="22"/>
                <w:szCs w:val="22"/>
                <w:lang w:eastAsia="lv-LV"/>
              </w:rPr>
              <w:t>mēn</w:t>
            </w:r>
            <w:proofErr w:type="spellEnd"/>
            <w:r w:rsidR="006D2D85" w:rsidRPr="00CE68EA">
              <w:rPr>
                <w:rFonts w:eastAsia="Times New Roman" w:cstheme="minorHAnsi"/>
                <w:sz w:val="22"/>
                <w:szCs w:val="22"/>
                <w:lang w:eastAsia="lv-LV"/>
              </w:rPr>
              <w:t>.</w:t>
            </w:r>
          </w:p>
        </w:tc>
        <w:tc>
          <w:tcPr>
            <w:tcW w:w="1140" w:type="dxa"/>
            <w:vMerge w:val="restart"/>
            <w:hideMark/>
          </w:tcPr>
          <w:p w14:paraId="4D65C791" w14:textId="40D83BAE" w:rsidR="00A938F6" w:rsidRPr="00CE68EA" w:rsidRDefault="00A938F6" w:rsidP="00DD6EFE">
            <w:pPr>
              <w:spacing w:before="0"/>
              <w:jc w:val="center"/>
              <w:rPr>
                <w:rFonts w:eastAsia="Times New Roman" w:cstheme="minorHAnsi"/>
                <w:b w:val="0"/>
                <w:bCs w:val="0"/>
                <w:sz w:val="22"/>
                <w:szCs w:val="22"/>
                <w:lang w:eastAsia="lv-LV"/>
              </w:rPr>
            </w:pPr>
            <w:r w:rsidRPr="00CE68EA">
              <w:rPr>
                <w:rFonts w:eastAsia="Times New Roman" w:cstheme="minorHAnsi"/>
                <w:sz w:val="22"/>
                <w:szCs w:val="22"/>
                <w:lang w:eastAsia="lv-LV"/>
              </w:rPr>
              <w:t>Plāns 202</w:t>
            </w:r>
            <w:r w:rsidR="006D2D85" w:rsidRPr="00CE68EA">
              <w:rPr>
                <w:rFonts w:eastAsia="Times New Roman" w:cstheme="minorHAnsi"/>
                <w:sz w:val="22"/>
                <w:szCs w:val="22"/>
                <w:lang w:eastAsia="lv-LV"/>
              </w:rPr>
              <w:t>5</w:t>
            </w:r>
            <w:r w:rsidRPr="00CE68EA">
              <w:rPr>
                <w:rFonts w:eastAsia="Times New Roman" w:cstheme="minorHAnsi"/>
                <w:sz w:val="22"/>
                <w:szCs w:val="22"/>
                <w:lang w:eastAsia="lv-LV"/>
              </w:rPr>
              <w:t>. gada</w:t>
            </w:r>
            <w:r w:rsidR="006D2D85" w:rsidRPr="00CE68EA">
              <w:rPr>
                <w:rFonts w:eastAsia="Times New Roman" w:cstheme="minorHAnsi"/>
                <w:sz w:val="22"/>
                <w:szCs w:val="22"/>
                <w:lang w:eastAsia="lv-LV"/>
              </w:rPr>
              <w:t xml:space="preserve"> 3 </w:t>
            </w:r>
            <w:proofErr w:type="spellStart"/>
            <w:r w:rsidR="006D2D85" w:rsidRPr="00CE68EA">
              <w:rPr>
                <w:rFonts w:eastAsia="Times New Roman" w:cstheme="minorHAnsi"/>
                <w:sz w:val="22"/>
                <w:szCs w:val="22"/>
                <w:lang w:eastAsia="lv-LV"/>
              </w:rPr>
              <w:t>mēn</w:t>
            </w:r>
            <w:proofErr w:type="spellEnd"/>
            <w:r w:rsidR="006D2D85" w:rsidRPr="00CE68EA">
              <w:rPr>
                <w:rFonts w:eastAsia="Times New Roman" w:cstheme="minorHAnsi"/>
                <w:sz w:val="22"/>
                <w:szCs w:val="22"/>
                <w:lang w:eastAsia="lv-LV"/>
              </w:rPr>
              <w:t>.</w:t>
            </w:r>
          </w:p>
        </w:tc>
        <w:tc>
          <w:tcPr>
            <w:tcW w:w="1140" w:type="dxa"/>
            <w:vMerge w:val="restart"/>
            <w:hideMark/>
          </w:tcPr>
          <w:p w14:paraId="54A5E116" w14:textId="126E4F3C" w:rsidR="00A938F6" w:rsidRPr="00CE68EA" w:rsidRDefault="00A938F6" w:rsidP="00DD6EFE">
            <w:pPr>
              <w:spacing w:before="0"/>
              <w:jc w:val="center"/>
              <w:rPr>
                <w:rFonts w:eastAsia="Times New Roman" w:cstheme="minorHAnsi"/>
                <w:b w:val="0"/>
                <w:bCs w:val="0"/>
                <w:sz w:val="22"/>
                <w:szCs w:val="22"/>
                <w:lang w:eastAsia="lv-LV"/>
              </w:rPr>
            </w:pPr>
            <w:r w:rsidRPr="00CE68EA">
              <w:rPr>
                <w:rFonts w:eastAsia="Times New Roman" w:cstheme="minorHAnsi"/>
                <w:sz w:val="22"/>
                <w:szCs w:val="22"/>
                <w:lang w:eastAsia="lv-LV"/>
              </w:rPr>
              <w:t>Izpilde 202</w:t>
            </w:r>
            <w:r w:rsidR="006D2D85" w:rsidRPr="00CE68EA">
              <w:rPr>
                <w:rFonts w:eastAsia="Times New Roman" w:cstheme="minorHAnsi"/>
                <w:sz w:val="22"/>
                <w:szCs w:val="22"/>
                <w:lang w:eastAsia="lv-LV"/>
              </w:rPr>
              <w:t>5</w:t>
            </w:r>
            <w:r w:rsidRPr="00CE68EA">
              <w:rPr>
                <w:rFonts w:eastAsia="Times New Roman" w:cstheme="minorHAnsi"/>
                <w:sz w:val="22"/>
                <w:szCs w:val="22"/>
                <w:lang w:eastAsia="lv-LV"/>
              </w:rPr>
              <w:t>. gada</w:t>
            </w:r>
            <w:r w:rsidR="006D2D85" w:rsidRPr="00CE68EA">
              <w:rPr>
                <w:rFonts w:eastAsia="Times New Roman" w:cstheme="minorHAnsi"/>
                <w:sz w:val="22"/>
                <w:szCs w:val="22"/>
                <w:lang w:eastAsia="lv-LV"/>
              </w:rPr>
              <w:t xml:space="preserve"> 3 </w:t>
            </w:r>
            <w:proofErr w:type="spellStart"/>
            <w:r w:rsidR="006D2D85" w:rsidRPr="00CE68EA">
              <w:rPr>
                <w:rFonts w:eastAsia="Times New Roman" w:cstheme="minorHAnsi"/>
                <w:sz w:val="22"/>
                <w:szCs w:val="22"/>
                <w:lang w:eastAsia="lv-LV"/>
              </w:rPr>
              <w:t>mēn</w:t>
            </w:r>
            <w:proofErr w:type="spellEnd"/>
            <w:r w:rsidR="006D2D85" w:rsidRPr="00CE68EA">
              <w:rPr>
                <w:rFonts w:eastAsia="Times New Roman" w:cstheme="minorHAnsi"/>
                <w:sz w:val="22"/>
                <w:szCs w:val="22"/>
                <w:lang w:eastAsia="lv-LV"/>
              </w:rPr>
              <w:t>.</w:t>
            </w:r>
          </w:p>
        </w:tc>
        <w:tc>
          <w:tcPr>
            <w:tcW w:w="1884" w:type="dxa"/>
            <w:gridSpan w:val="2"/>
            <w:hideMark/>
          </w:tcPr>
          <w:p w14:paraId="7AB8F9E8" w14:textId="6BC5E3EF" w:rsidR="00A938F6" w:rsidRPr="00CE68EA" w:rsidRDefault="00A938F6" w:rsidP="00DD6EFE">
            <w:pPr>
              <w:spacing w:before="0"/>
              <w:jc w:val="center"/>
              <w:rPr>
                <w:rFonts w:eastAsia="Times New Roman" w:cstheme="minorHAnsi"/>
                <w:b w:val="0"/>
                <w:bCs w:val="0"/>
                <w:sz w:val="22"/>
                <w:szCs w:val="22"/>
                <w:lang w:eastAsia="lv-LV"/>
              </w:rPr>
            </w:pPr>
            <w:r w:rsidRPr="00CE68EA">
              <w:rPr>
                <w:rFonts w:eastAsia="Times New Roman" w:cstheme="minorHAnsi"/>
                <w:sz w:val="22"/>
                <w:szCs w:val="22"/>
                <w:lang w:eastAsia="lv-LV"/>
              </w:rPr>
              <w:t>Novirze pret 202</w:t>
            </w:r>
            <w:r w:rsidR="006D2D85" w:rsidRPr="00CE68EA">
              <w:rPr>
                <w:rFonts w:eastAsia="Times New Roman" w:cstheme="minorHAnsi"/>
                <w:sz w:val="22"/>
                <w:szCs w:val="22"/>
                <w:lang w:eastAsia="lv-LV"/>
              </w:rPr>
              <w:t>4</w:t>
            </w:r>
            <w:r w:rsidRPr="00CE68EA">
              <w:rPr>
                <w:rFonts w:eastAsia="Times New Roman" w:cstheme="minorHAnsi"/>
                <w:sz w:val="22"/>
                <w:szCs w:val="22"/>
                <w:lang w:eastAsia="lv-LV"/>
              </w:rPr>
              <w:t>.gad</w:t>
            </w:r>
            <w:r w:rsidR="006D2D85" w:rsidRPr="00CE68EA">
              <w:rPr>
                <w:rFonts w:eastAsia="Times New Roman" w:cstheme="minorHAnsi"/>
                <w:sz w:val="22"/>
                <w:szCs w:val="22"/>
                <w:lang w:eastAsia="lv-LV"/>
              </w:rPr>
              <w:t xml:space="preserve">a 3 </w:t>
            </w:r>
            <w:proofErr w:type="spellStart"/>
            <w:r w:rsidR="006D2D85" w:rsidRPr="00CE68EA">
              <w:rPr>
                <w:rFonts w:eastAsia="Times New Roman" w:cstheme="minorHAnsi"/>
                <w:sz w:val="22"/>
                <w:szCs w:val="22"/>
                <w:lang w:eastAsia="lv-LV"/>
              </w:rPr>
              <w:t>mēn</w:t>
            </w:r>
            <w:proofErr w:type="spellEnd"/>
            <w:r w:rsidR="006D2D85" w:rsidRPr="00CE68EA">
              <w:rPr>
                <w:rFonts w:eastAsia="Times New Roman" w:cstheme="minorHAnsi"/>
                <w:sz w:val="22"/>
                <w:szCs w:val="22"/>
                <w:lang w:eastAsia="lv-LV"/>
              </w:rPr>
              <w:t>.</w:t>
            </w:r>
          </w:p>
        </w:tc>
        <w:tc>
          <w:tcPr>
            <w:tcW w:w="1923" w:type="dxa"/>
            <w:gridSpan w:val="2"/>
            <w:hideMark/>
          </w:tcPr>
          <w:p w14:paraId="25582F38" w14:textId="2B999640" w:rsidR="00A938F6" w:rsidRPr="00CE68EA" w:rsidRDefault="00A938F6" w:rsidP="00DD6EFE">
            <w:pPr>
              <w:spacing w:before="0"/>
              <w:jc w:val="center"/>
              <w:rPr>
                <w:rFonts w:eastAsia="Times New Roman" w:cstheme="minorHAnsi"/>
                <w:b w:val="0"/>
                <w:bCs w:val="0"/>
                <w:sz w:val="22"/>
                <w:szCs w:val="22"/>
                <w:lang w:eastAsia="lv-LV"/>
              </w:rPr>
            </w:pPr>
            <w:r w:rsidRPr="00CE68EA">
              <w:rPr>
                <w:rFonts w:eastAsia="Times New Roman" w:cstheme="minorHAnsi"/>
                <w:sz w:val="22"/>
                <w:szCs w:val="22"/>
                <w:lang w:eastAsia="lv-LV"/>
              </w:rPr>
              <w:t>Novirze pret 202</w:t>
            </w:r>
            <w:r w:rsidR="006D2D85" w:rsidRPr="00CE68EA">
              <w:rPr>
                <w:rFonts w:eastAsia="Times New Roman" w:cstheme="minorHAnsi"/>
                <w:sz w:val="22"/>
                <w:szCs w:val="22"/>
                <w:lang w:eastAsia="lv-LV"/>
              </w:rPr>
              <w:t>5</w:t>
            </w:r>
            <w:r w:rsidRPr="00CE68EA">
              <w:rPr>
                <w:rFonts w:eastAsia="Times New Roman" w:cstheme="minorHAnsi"/>
                <w:sz w:val="22"/>
                <w:szCs w:val="22"/>
                <w:lang w:eastAsia="lv-LV"/>
              </w:rPr>
              <w:t>.gad</w:t>
            </w:r>
            <w:r w:rsidR="006D2D85" w:rsidRPr="00CE68EA">
              <w:rPr>
                <w:rFonts w:eastAsia="Times New Roman" w:cstheme="minorHAnsi"/>
                <w:sz w:val="22"/>
                <w:szCs w:val="22"/>
                <w:lang w:eastAsia="lv-LV"/>
              </w:rPr>
              <w:t xml:space="preserve">a 3 </w:t>
            </w:r>
            <w:proofErr w:type="spellStart"/>
            <w:r w:rsidR="006D2D85" w:rsidRPr="00CE68EA">
              <w:rPr>
                <w:rFonts w:eastAsia="Times New Roman" w:cstheme="minorHAnsi"/>
                <w:sz w:val="22"/>
                <w:szCs w:val="22"/>
                <w:lang w:eastAsia="lv-LV"/>
              </w:rPr>
              <w:t>mēn</w:t>
            </w:r>
            <w:proofErr w:type="spellEnd"/>
            <w:r w:rsidR="006D2D85" w:rsidRPr="00CE68EA">
              <w:rPr>
                <w:rFonts w:eastAsia="Times New Roman" w:cstheme="minorHAnsi"/>
                <w:sz w:val="22"/>
                <w:szCs w:val="22"/>
                <w:lang w:eastAsia="lv-LV"/>
              </w:rPr>
              <w:t>. plānu</w:t>
            </w:r>
          </w:p>
        </w:tc>
      </w:tr>
      <w:tr w:rsidR="007F4A1A" w:rsidRPr="00CE68EA" w14:paraId="7F4089CD" w14:textId="77777777" w:rsidTr="007F4A1A">
        <w:trPr>
          <w:cnfStyle w:val="100000000000" w:firstRow="1" w:lastRow="0" w:firstColumn="0" w:lastColumn="0" w:oddVBand="0" w:evenVBand="0" w:oddHBand="0" w:evenHBand="0" w:firstRowFirstColumn="0" w:firstRowLastColumn="0" w:lastRowFirstColumn="0" w:lastRowLastColumn="0"/>
          <w:trHeight w:val="315"/>
          <w:tblHeader/>
        </w:trPr>
        <w:tc>
          <w:tcPr>
            <w:tcW w:w="2258" w:type="dxa"/>
            <w:vMerge/>
            <w:hideMark/>
          </w:tcPr>
          <w:p w14:paraId="16654FF5" w14:textId="77777777" w:rsidR="00A938F6" w:rsidRPr="00CE68EA" w:rsidRDefault="00A938F6" w:rsidP="00A938F6">
            <w:pPr>
              <w:spacing w:before="0"/>
              <w:jc w:val="left"/>
              <w:rPr>
                <w:rFonts w:eastAsia="Times New Roman" w:cstheme="minorHAnsi"/>
                <w:b w:val="0"/>
                <w:bCs w:val="0"/>
                <w:sz w:val="22"/>
                <w:szCs w:val="22"/>
                <w:lang w:eastAsia="lv-LV"/>
              </w:rPr>
            </w:pPr>
          </w:p>
        </w:tc>
        <w:tc>
          <w:tcPr>
            <w:tcW w:w="1140" w:type="dxa"/>
            <w:vMerge/>
            <w:hideMark/>
          </w:tcPr>
          <w:p w14:paraId="47B92306" w14:textId="77777777" w:rsidR="00A938F6" w:rsidRPr="00CE68EA" w:rsidRDefault="00A938F6" w:rsidP="00A938F6">
            <w:pPr>
              <w:spacing w:before="0"/>
              <w:jc w:val="left"/>
              <w:rPr>
                <w:rFonts w:eastAsia="Times New Roman" w:cstheme="minorHAnsi"/>
                <w:b w:val="0"/>
                <w:bCs w:val="0"/>
                <w:sz w:val="22"/>
                <w:szCs w:val="22"/>
                <w:lang w:eastAsia="lv-LV"/>
              </w:rPr>
            </w:pPr>
          </w:p>
        </w:tc>
        <w:tc>
          <w:tcPr>
            <w:tcW w:w="1140" w:type="dxa"/>
            <w:vMerge/>
            <w:hideMark/>
          </w:tcPr>
          <w:p w14:paraId="24817FCA" w14:textId="77777777" w:rsidR="00A938F6" w:rsidRPr="00CE68EA" w:rsidRDefault="00A938F6" w:rsidP="00A938F6">
            <w:pPr>
              <w:spacing w:before="0"/>
              <w:jc w:val="left"/>
              <w:rPr>
                <w:rFonts w:eastAsia="Times New Roman" w:cstheme="minorHAnsi"/>
                <w:b w:val="0"/>
                <w:bCs w:val="0"/>
                <w:sz w:val="22"/>
                <w:szCs w:val="22"/>
                <w:lang w:eastAsia="lv-LV"/>
              </w:rPr>
            </w:pPr>
          </w:p>
        </w:tc>
        <w:tc>
          <w:tcPr>
            <w:tcW w:w="1140" w:type="dxa"/>
            <w:vMerge/>
            <w:hideMark/>
          </w:tcPr>
          <w:p w14:paraId="17101D5C" w14:textId="77777777" w:rsidR="00A938F6" w:rsidRPr="00CE68EA" w:rsidRDefault="00A938F6" w:rsidP="00A938F6">
            <w:pPr>
              <w:spacing w:before="0"/>
              <w:jc w:val="left"/>
              <w:rPr>
                <w:rFonts w:eastAsia="Times New Roman" w:cstheme="minorHAnsi"/>
                <w:b w:val="0"/>
                <w:bCs w:val="0"/>
                <w:sz w:val="22"/>
                <w:szCs w:val="22"/>
                <w:lang w:eastAsia="lv-LV"/>
              </w:rPr>
            </w:pPr>
          </w:p>
        </w:tc>
        <w:tc>
          <w:tcPr>
            <w:tcW w:w="940" w:type="dxa"/>
            <w:hideMark/>
          </w:tcPr>
          <w:p w14:paraId="60431601" w14:textId="77777777" w:rsidR="00A938F6" w:rsidRPr="00CE68EA" w:rsidRDefault="00A938F6" w:rsidP="00A938F6">
            <w:pPr>
              <w:spacing w:before="0"/>
              <w:jc w:val="center"/>
              <w:rPr>
                <w:rFonts w:eastAsia="Times New Roman" w:cstheme="minorHAnsi"/>
                <w:b w:val="0"/>
                <w:bCs w:val="0"/>
                <w:sz w:val="22"/>
                <w:szCs w:val="22"/>
                <w:lang w:eastAsia="lv-LV"/>
              </w:rPr>
            </w:pPr>
            <w:r w:rsidRPr="00CE68EA">
              <w:rPr>
                <w:rFonts w:eastAsia="Times New Roman" w:cstheme="minorHAnsi"/>
                <w:sz w:val="22"/>
                <w:szCs w:val="22"/>
                <w:lang w:eastAsia="lv-LV"/>
              </w:rPr>
              <w:t>EUR</w:t>
            </w:r>
          </w:p>
        </w:tc>
        <w:tc>
          <w:tcPr>
            <w:tcW w:w="944" w:type="dxa"/>
            <w:hideMark/>
          </w:tcPr>
          <w:p w14:paraId="08B01E6D" w14:textId="77777777" w:rsidR="00A938F6" w:rsidRPr="00CE68EA" w:rsidRDefault="00A938F6" w:rsidP="00A938F6">
            <w:pPr>
              <w:spacing w:before="0"/>
              <w:jc w:val="center"/>
              <w:rPr>
                <w:rFonts w:eastAsia="Times New Roman" w:cstheme="minorHAnsi"/>
                <w:b w:val="0"/>
                <w:bCs w:val="0"/>
                <w:sz w:val="22"/>
                <w:szCs w:val="22"/>
                <w:lang w:eastAsia="lv-LV"/>
              </w:rPr>
            </w:pPr>
            <w:r w:rsidRPr="00CE68EA">
              <w:rPr>
                <w:rFonts w:eastAsia="Times New Roman" w:cstheme="minorHAnsi"/>
                <w:sz w:val="22"/>
                <w:szCs w:val="22"/>
                <w:lang w:eastAsia="lv-LV"/>
              </w:rPr>
              <w:t>%</w:t>
            </w:r>
          </w:p>
        </w:tc>
        <w:tc>
          <w:tcPr>
            <w:tcW w:w="940" w:type="dxa"/>
            <w:hideMark/>
          </w:tcPr>
          <w:p w14:paraId="678BEAF3" w14:textId="77777777" w:rsidR="00A938F6" w:rsidRPr="00CE68EA" w:rsidRDefault="00A938F6" w:rsidP="00A938F6">
            <w:pPr>
              <w:spacing w:before="0"/>
              <w:jc w:val="center"/>
              <w:rPr>
                <w:rFonts w:eastAsia="Times New Roman" w:cstheme="minorHAnsi"/>
                <w:b w:val="0"/>
                <w:bCs w:val="0"/>
                <w:sz w:val="22"/>
                <w:szCs w:val="22"/>
                <w:lang w:eastAsia="lv-LV"/>
              </w:rPr>
            </w:pPr>
            <w:r w:rsidRPr="00CE68EA">
              <w:rPr>
                <w:rFonts w:eastAsia="Times New Roman" w:cstheme="minorHAnsi"/>
                <w:sz w:val="22"/>
                <w:szCs w:val="22"/>
                <w:lang w:eastAsia="lv-LV"/>
              </w:rPr>
              <w:t>EUR</w:t>
            </w:r>
          </w:p>
        </w:tc>
        <w:tc>
          <w:tcPr>
            <w:tcW w:w="983" w:type="dxa"/>
            <w:hideMark/>
          </w:tcPr>
          <w:p w14:paraId="7DC164AF" w14:textId="77777777" w:rsidR="00A938F6" w:rsidRPr="00CE68EA" w:rsidRDefault="00A938F6" w:rsidP="00A938F6">
            <w:pPr>
              <w:spacing w:before="0"/>
              <w:jc w:val="center"/>
              <w:rPr>
                <w:rFonts w:eastAsia="Times New Roman" w:cstheme="minorHAnsi"/>
                <w:b w:val="0"/>
                <w:bCs w:val="0"/>
                <w:sz w:val="22"/>
                <w:szCs w:val="22"/>
                <w:lang w:eastAsia="lv-LV"/>
              </w:rPr>
            </w:pPr>
            <w:r w:rsidRPr="00CE68EA">
              <w:rPr>
                <w:rFonts w:eastAsia="Times New Roman" w:cstheme="minorHAnsi"/>
                <w:sz w:val="22"/>
                <w:szCs w:val="22"/>
                <w:lang w:eastAsia="lv-LV"/>
              </w:rPr>
              <w:t>%</w:t>
            </w:r>
          </w:p>
        </w:tc>
      </w:tr>
      <w:tr w:rsidR="00A938F6" w:rsidRPr="00CE68EA" w14:paraId="6FE6DA2A" w14:textId="77777777" w:rsidTr="007F4A1A">
        <w:trPr>
          <w:trHeight w:val="315"/>
        </w:trPr>
        <w:tc>
          <w:tcPr>
            <w:tcW w:w="2258" w:type="dxa"/>
            <w:hideMark/>
          </w:tcPr>
          <w:p w14:paraId="69F383F7" w14:textId="77777777" w:rsidR="00A938F6" w:rsidRPr="00CE68EA" w:rsidRDefault="00A938F6" w:rsidP="00A938F6">
            <w:pPr>
              <w:spacing w:before="0"/>
              <w:jc w:val="left"/>
              <w:rPr>
                <w:rFonts w:eastAsia="Times New Roman" w:cstheme="minorHAnsi"/>
                <w:sz w:val="22"/>
                <w:szCs w:val="22"/>
                <w:lang w:eastAsia="lv-LV"/>
              </w:rPr>
            </w:pPr>
            <w:r w:rsidRPr="00CE68EA">
              <w:rPr>
                <w:rFonts w:eastAsia="Times New Roman" w:cstheme="minorHAnsi"/>
                <w:sz w:val="22"/>
                <w:szCs w:val="22"/>
                <w:lang w:eastAsia="lv-LV"/>
              </w:rPr>
              <w:t>Valsts stacionārie pakalpojumi</w:t>
            </w:r>
          </w:p>
        </w:tc>
        <w:tc>
          <w:tcPr>
            <w:tcW w:w="1140" w:type="dxa"/>
            <w:noWrap/>
            <w:hideMark/>
          </w:tcPr>
          <w:p w14:paraId="3E1A9CBB" w14:textId="4C71BBC3" w:rsidR="00A938F6" w:rsidRPr="00CE68EA" w:rsidRDefault="002E2718" w:rsidP="00A938F6">
            <w:pPr>
              <w:spacing w:before="0"/>
              <w:jc w:val="right"/>
              <w:rPr>
                <w:rFonts w:eastAsia="Times New Roman" w:cstheme="minorHAnsi"/>
                <w:sz w:val="22"/>
                <w:szCs w:val="22"/>
                <w:lang w:eastAsia="lv-LV"/>
              </w:rPr>
            </w:pPr>
            <w:r w:rsidRPr="00CE68EA">
              <w:rPr>
                <w:rFonts w:eastAsia="Times New Roman" w:cstheme="minorHAnsi"/>
                <w:sz w:val="22"/>
                <w:szCs w:val="22"/>
                <w:lang w:eastAsia="lv-LV"/>
              </w:rPr>
              <w:t>1 046 995</w:t>
            </w:r>
          </w:p>
        </w:tc>
        <w:tc>
          <w:tcPr>
            <w:tcW w:w="1140" w:type="dxa"/>
            <w:noWrap/>
            <w:hideMark/>
          </w:tcPr>
          <w:p w14:paraId="1DFB9165" w14:textId="5DF4532E" w:rsidR="00A938F6" w:rsidRPr="00CE68EA" w:rsidRDefault="00215DE8" w:rsidP="00A938F6">
            <w:pPr>
              <w:spacing w:before="0"/>
              <w:jc w:val="right"/>
              <w:rPr>
                <w:rFonts w:eastAsia="Times New Roman" w:cstheme="minorHAnsi"/>
                <w:sz w:val="22"/>
                <w:szCs w:val="22"/>
                <w:lang w:eastAsia="lv-LV"/>
              </w:rPr>
            </w:pPr>
            <w:r w:rsidRPr="00CE68EA">
              <w:rPr>
                <w:rFonts w:eastAsia="Times New Roman" w:cstheme="minorHAnsi"/>
                <w:sz w:val="22"/>
                <w:szCs w:val="22"/>
                <w:lang w:eastAsia="lv-LV"/>
              </w:rPr>
              <w:t>1 256 850</w:t>
            </w:r>
          </w:p>
        </w:tc>
        <w:tc>
          <w:tcPr>
            <w:tcW w:w="1140" w:type="dxa"/>
            <w:noWrap/>
            <w:hideMark/>
          </w:tcPr>
          <w:p w14:paraId="570592E7" w14:textId="14E515E3" w:rsidR="00A938F6" w:rsidRPr="00CE68EA" w:rsidRDefault="00215DE8" w:rsidP="00A938F6">
            <w:pPr>
              <w:spacing w:before="0"/>
              <w:jc w:val="right"/>
              <w:rPr>
                <w:rFonts w:eastAsia="Times New Roman" w:cstheme="minorHAnsi"/>
                <w:sz w:val="22"/>
                <w:szCs w:val="22"/>
                <w:lang w:eastAsia="lv-LV"/>
              </w:rPr>
            </w:pPr>
            <w:r w:rsidRPr="00CE68EA">
              <w:rPr>
                <w:rFonts w:eastAsia="Times New Roman" w:cstheme="minorHAnsi"/>
                <w:sz w:val="22"/>
                <w:szCs w:val="22"/>
                <w:lang w:eastAsia="lv-LV"/>
              </w:rPr>
              <w:t>1 163 506</w:t>
            </w:r>
          </w:p>
        </w:tc>
        <w:tc>
          <w:tcPr>
            <w:tcW w:w="940" w:type="dxa"/>
            <w:noWrap/>
            <w:hideMark/>
          </w:tcPr>
          <w:p w14:paraId="0BE17F23" w14:textId="4B2CB753" w:rsidR="00A938F6" w:rsidRPr="00CE68EA" w:rsidRDefault="004B434F" w:rsidP="00A938F6">
            <w:pPr>
              <w:spacing w:before="0"/>
              <w:jc w:val="right"/>
              <w:rPr>
                <w:rFonts w:eastAsia="Times New Roman" w:cstheme="minorHAnsi"/>
                <w:sz w:val="22"/>
                <w:szCs w:val="22"/>
                <w:lang w:eastAsia="lv-LV"/>
              </w:rPr>
            </w:pPr>
            <w:r w:rsidRPr="00CE68EA">
              <w:rPr>
                <w:rFonts w:eastAsia="Times New Roman" w:cstheme="minorHAnsi"/>
                <w:sz w:val="22"/>
                <w:szCs w:val="22"/>
                <w:lang w:eastAsia="lv-LV"/>
              </w:rPr>
              <w:t>116 511</w:t>
            </w:r>
          </w:p>
        </w:tc>
        <w:tc>
          <w:tcPr>
            <w:tcW w:w="944" w:type="dxa"/>
            <w:noWrap/>
            <w:hideMark/>
          </w:tcPr>
          <w:p w14:paraId="64D725AC" w14:textId="448E73DD" w:rsidR="00A938F6" w:rsidRPr="00CE68EA" w:rsidRDefault="00A938F6" w:rsidP="004B434F">
            <w:pPr>
              <w:spacing w:before="0"/>
              <w:jc w:val="center"/>
              <w:rPr>
                <w:rFonts w:eastAsia="Times New Roman" w:cstheme="minorHAnsi"/>
                <w:sz w:val="22"/>
                <w:szCs w:val="22"/>
                <w:lang w:eastAsia="lv-LV"/>
              </w:rPr>
            </w:pPr>
            <w:r w:rsidRPr="00CE68EA">
              <w:rPr>
                <w:rFonts w:eastAsia="Times New Roman" w:cstheme="minorHAnsi"/>
                <w:sz w:val="22"/>
                <w:szCs w:val="22"/>
                <w:lang w:eastAsia="lv-LV"/>
              </w:rPr>
              <w:t>11.</w:t>
            </w:r>
            <w:r w:rsidR="004B434F" w:rsidRPr="00CE68EA">
              <w:rPr>
                <w:rFonts w:eastAsia="Times New Roman" w:cstheme="minorHAnsi"/>
                <w:sz w:val="22"/>
                <w:szCs w:val="22"/>
                <w:lang w:eastAsia="lv-LV"/>
              </w:rPr>
              <w:t>13</w:t>
            </w:r>
            <w:r w:rsidRPr="00CE68EA">
              <w:rPr>
                <w:rFonts w:eastAsia="Times New Roman" w:cstheme="minorHAnsi"/>
                <w:sz w:val="22"/>
                <w:szCs w:val="22"/>
                <w:lang w:eastAsia="lv-LV"/>
              </w:rPr>
              <w:t>%</w:t>
            </w:r>
          </w:p>
        </w:tc>
        <w:tc>
          <w:tcPr>
            <w:tcW w:w="940" w:type="dxa"/>
            <w:noWrap/>
            <w:hideMark/>
          </w:tcPr>
          <w:p w14:paraId="2CCD2E06" w14:textId="0F7691E7" w:rsidR="00A938F6" w:rsidRPr="00CE68EA" w:rsidRDefault="004B434F" w:rsidP="00A938F6">
            <w:pPr>
              <w:spacing w:before="0"/>
              <w:jc w:val="right"/>
              <w:rPr>
                <w:rFonts w:eastAsia="Times New Roman" w:cstheme="minorHAnsi"/>
                <w:sz w:val="22"/>
                <w:szCs w:val="22"/>
                <w:lang w:eastAsia="lv-LV"/>
              </w:rPr>
            </w:pPr>
            <w:r w:rsidRPr="00CE68EA">
              <w:rPr>
                <w:rFonts w:eastAsia="Times New Roman" w:cstheme="minorHAnsi"/>
                <w:sz w:val="22"/>
                <w:szCs w:val="22"/>
                <w:lang w:eastAsia="lv-LV"/>
              </w:rPr>
              <w:t>-93 344</w:t>
            </w:r>
          </w:p>
        </w:tc>
        <w:tc>
          <w:tcPr>
            <w:tcW w:w="983" w:type="dxa"/>
            <w:noWrap/>
            <w:hideMark/>
          </w:tcPr>
          <w:p w14:paraId="566B5D4B" w14:textId="26ABB3A4" w:rsidR="00A938F6" w:rsidRPr="00CE68EA" w:rsidRDefault="004B434F" w:rsidP="00A938F6">
            <w:pPr>
              <w:spacing w:before="0"/>
              <w:jc w:val="center"/>
              <w:rPr>
                <w:rFonts w:eastAsia="Times New Roman" w:cstheme="minorHAnsi"/>
                <w:sz w:val="22"/>
                <w:szCs w:val="22"/>
                <w:lang w:eastAsia="lv-LV"/>
              </w:rPr>
            </w:pPr>
            <w:r w:rsidRPr="00CE68EA">
              <w:rPr>
                <w:rFonts w:eastAsia="Times New Roman" w:cstheme="minorHAnsi"/>
                <w:sz w:val="22"/>
                <w:szCs w:val="22"/>
                <w:lang w:eastAsia="lv-LV"/>
              </w:rPr>
              <w:t>-7,43</w:t>
            </w:r>
            <w:r w:rsidR="00A938F6" w:rsidRPr="00CE68EA">
              <w:rPr>
                <w:rFonts w:eastAsia="Times New Roman" w:cstheme="minorHAnsi"/>
                <w:sz w:val="22"/>
                <w:szCs w:val="22"/>
                <w:lang w:eastAsia="lv-LV"/>
              </w:rPr>
              <w:t>%</w:t>
            </w:r>
          </w:p>
        </w:tc>
      </w:tr>
      <w:tr w:rsidR="00A938F6" w:rsidRPr="00CE68EA" w14:paraId="389462DC" w14:textId="77777777" w:rsidTr="007F4A1A">
        <w:trPr>
          <w:trHeight w:val="315"/>
        </w:trPr>
        <w:tc>
          <w:tcPr>
            <w:tcW w:w="2258" w:type="dxa"/>
            <w:hideMark/>
          </w:tcPr>
          <w:p w14:paraId="064C67E2" w14:textId="77777777" w:rsidR="00A938F6" w:rsidRPr="00CE68EA" w:rsidRDefault="00A938F6" w:rsidP="00A938F6">
            <w:pPr>
              <w:spacing w:before="0"/>
              <w:jc w:val="left"/>
              <w:rPr>
                <w:rFonts w:eastAsia="Times New Roman" w:cstheme="minorHAnsi"/>
                <w:sz w:val="22"/>
                <w:szCs w:val="22"/>
                <w:lang w:eastAsia="lv-LV"/>
              </w:rPr>
            </w:pPr>
            <w:r w:rsidRPr="00CE68EA">
              <w:rPr>
                <w:rFonts w:eastAsia="Times New Roman" w:cstheme="minorHAnsi"/>
                <w:sz w:val="22"/>
                <w:szCs w:val="22"/>
                <w:lang w:eastAsia="lv-LV"/>
              </w:rPr>
              <w:t>Valsts ambulatorie pakalpojumi</w:t>
            </w:r>
          </w:p>
        </w:tc>
        <w:tc>
          <w:tcPr>
            <w:tcW w:w="1140" w:type="dxa"/>
            <w:noWrap/>
            <w:hideMark/>
          </w:tcPr>
          <w:p w14:paraId="3C3A0EDC" w14:textId="3230671E" w:rsidR="00A938F6" w:rsidRPr="00CE68EA" w:rsidRDefault="002E2718" w:rsidP="00A938F6">
            <w:pPr>
              <w:spacing w:before="0"/>
              <w:jc w:val="right"/>
              <w:rPr>
                <w:rFonts w:eastAsia="Times New Roman" w:cstheme="minorHAnsi"/>
                <w:sz w:val="22"/>
                <w:szCs w:val="22"/>
                <w:lang w:eastAsia="lv-LV"/>
              </w:rPr>
            </w:pPr>
            <w:r w:rsidRPr="00CE68EA">
              <w:rPr>
                <w:rFonts w:eastAsia="Times New Roman" w:cstheme="minorHAnsi"/>
                <w:sz w:val="22"/>
                <w:szCs w:val="22"/>
                <w:lang w:eastAsia="lv-LV"/>
              </w:rPr>
              <w:t>251 373</w:t>
            </w:r>
          </w:p>
        </w:tc>
        <w:tc>
          <w:tcPr>
            <w:tcW w:w="1140" w:type="dxa"/>
            <w:noWrap/>
            <w:hideMark/>
          </w:tcPr>
          <w:p w14:paraId="1A58EBE2" w14:textId="7C1B0DE9" w:rsidR="00A938F6" w:rsidRPr="00CE68EA" w:rsidRDefault="00215DE8" w:rsidP="00A938F6">
            <w:pPr>
              <w:spacing w:before="0"/>
              <w:jc w:val="right"/>
              <w:rPr>
                <w:rFonts w:eastAsia="Times New Roman" w:cstheme="minorHAnsi"/>
                <w:sz w:val="22"/>
                <w:szCs w:val="22"/>
                <w:lang w:eastAsia="lv-LV"/>
              </w:rPr>
            </w:pPr>
            <w:r w:rsidRPr="00CE68EA">
              <w:rPr>
                <w:rFonts w:eastAsia="Times New Roman" w:cstheme="minorHAnsi"/>
                <w:sz w:val="22"/>
                <w:szCs w:val="22"/>
                <w:lang w:eastAsia="lv-LV"/>
              </w:rPr>
              <w:t>252 558</w:t>
            </w:r>
          </w:p>
        </w:tc>
        <w:tc>
          <w:tcPr>
            <w:tcW w:w="1140" w:type="dxa"/>
            <w:noWrap/>
            <w:hideMark/>
          </w:tcPr>
          <w:p w14:paraId="605E0E66" w14:textId="637C3C42" w:rsidR="00A938F6" w:rsidRPr="00CE68EA" w:rsidRDefault="00215DE8" w:rsidP="00A938F6">
            <w:pPr>
              <w:spacing w:before="0"/>
              <w:jc w:val="right"/>
              <w:rPr>
                <w:rFonts w:eastAsia="Times New Roman" w:cstheme="minorHAnsi"/>
                <w:sz w:val="22"/>
                <w:szCs w:val="22"/>
                <w:lang w:eastAsia="lv-LV"/>
              </w:rPr>
            </w:pPr>
            <w:r w:rsidRPr="00CE68EA">
              <w:rPr>
                <w:rFonts w:eastAsia="Times New Roman" w:cstheme="minorHAnsi"/>
                <w:sz w:val="22"/>
                <w:szCs w:val="22"/>
                <w:lang w:eastAsia="lv-LV"/>
              </w:rPr>
              <w:t>252 285</w:t>
            </w:r>
          </w:p>
        </w:tc>
        <w:tc>
          <w:tcPr>
            <w:tcW w:w="940" w:type="dxa"/>
            <w:noWrap/>
            <w:hideMark/>
          </w:tcPr>
          <w:p w14:paraId="135B3BF8" w14:textId="17485E81" w:rsidR="00A938F6" w:rsidRPr="00CE68EA" w:rsidRDefault="004B434F" w:rsidP="00A938F6">
            <w:pPr>
              <w:spacing w:before="0"/>
              <w:jc w:val="right"/>
              <w:rPr>
                <w:rFonts w:eastAsia="Times New Roman" w:cstheme="minorHAnsi"/>
                <w:sz w:val="22"/>
                <w:szCs w:val="22"/>
                <w:lang w:eastAsia="lv-LV"/>
              </w:rPr>
            </w:pPr>
            <w:r w:rsidRPr="00CE68EA">
              <w:rPr>
                <w:rFonts w:eastAsia="Times New Roman" w:cstheme="minorHAnsi"/>
                <w:sz w:val="22"/>
                <w:szCs w:val="22"/>
                <w:lang w:eastAsia="lv-LV"/>
              </w:rPr>
              <w:t>912</w:t>
            </w:r>
          </w:p>
        </w:tc>
        <w:tc>
          <w:tcPr>
            <w:tcW w:w="944" w:type="dxa"/>
            <w:noWrap/>
            <w:hideMark/>
          </w:tcPr>
          <w:p w14:paraId="2E185590" w14:textId="180775CC" w:rsidR="00A938F6" w:rsidRPr="00CE68EA" w:rsidRDefault="004B434F" w:rsidP="00A938F6">
            <w:pPr>
              <w:spacing w:before="0"/>
              <w:jc w:val="center"/>
              <w:rPr>
                <w:rFonts w:eastAsia="Times New Roman" w:cstheme="minorHAnsi"/>
                <w:sz w:val="22"/>
                <w:szCs w:val="22"/>
                <w:lang w:eastAsia="lv-LV"/>
              </w:rPr>
            </w:pPr>
            <w:r w:rsidRPr="00CE68EA">
              <w:rPr>
                <w:rFonts w:eastAsia="Times New Roman" w:cstheme="minorHAnsi"/>
                <w:sz w:val="22"/>
                <w:szCs w:val="22"/>
                <w:lang w:eastAsia="lv-LV"/>
              </w:rPr>
              <w:t>0,36</w:t>
            </w:r>
            <w:r w:rsidR="00A938F6" w:rsidRPr="00CE68EA">
              <w:rPr>
                <w:rFonts w:eastAsia="Times New Roman" w:cstheme="minorHAnsi"/>
                <w:sz w:val="22"/>
                <w:szCs w:val="22"/>
                <w:lang w:eastAsia="lv-LV"/>
              </w:rPr>
              <w:t>%</w:t>
            </w:r>
          </w:p>
        </w:tc>
        <w:tc>
          <w:tcPr>
            <w:tcW w:w="940" w:type="dxa"/>
            <w:noWrap/>
            <w:hideMark/>
          </w:tcPr>
          <w:p w14:paraId="76973F30" w14:textId="08A993D0" w:rsidR="00A938F6" w:rsidRPr="00CE68EA" w:rsidRDefault="004B434F" w:rsidP="00A938F6">
            <w:pPr>
              <w:spacing w:before="0"/>
              <w:jc w:val="right"/>
              <w:rPr>
                <w:rFonts w:eastAsia="Times New Roman" w:cstheme="minorHAnsi"/>
                <w:sz w:val="22"/>
                <w:szCs w:val="22"/>
                <w:lang w:eastAsia="lv-LV"/>
              </w:rPr>
            </w:pPr>
            <w:r w:rsidRPr="00CE68EA">
              <w:rPr>
                <w:rFonts w:eastAsia="Times New Roman" w:cstheme="minorHAnsi"/>
                <w:sz w:val="22"/>
                <w:szCs w:val="22"/>
                <w:lang w:eastAsia="lv-LV"/>
              </w:rPr>
              <w:t>-273</w:t>
            </w:r>
          </w:p>
        </w:tc>
        <w:tc>
          <w:tcPr>
            <w:tcW w:w="983" w:type="dxa"/>
            <w:noWrap/>
            <w:hideMark/>
          </w:tcPr>
          <w:p w14:paraId="23601863" w14:textId="64B03869" w:rsidR="00A938F6" w:rsidRPr="00CE68EA" w:rsidRDefault="004B434F" w:rsidP="00A938F6">
            <w:pPr>
              <w:spacing w:before="0"/>
              <w:jc w:val="center"/>
              <w:rPr>
                <w:rFonts w:eastAsia="Times New Roman" w:cstheme="minorHAnsi"/>
                <w:sz w:val="22"/>
                <w:szCs w:val="22"/>
                <w:lang w:eastAsia="lv-LV"/>
              </w:rPr>
            </w:pPr>
            <w:r w:rsidRPr="00CE68EA">
              <w:rPr>
                <w:rFonts w:eastAsia="Times New Roman" w:cstheme="minorHAnsi"/>
                <w:sz w:val="22"/>
                <w:szCs w:val="22"/>
                <w:lang w:eastAsia="lv-LV"/>
              </w:rPr>
              <w:t>-0,11</w:t>
            </w:r>
            <w:r w:rsidR="00A938F6" w:rsidRPr="00CE68EA">
              <w:rPr>
                <w:rFonts w:eastAsia="Times New Roman" w:cstheme="minorHAnsi"/>
                <w:sz w:val="22"/>
                <w:szCs w:val="22"/>
                <w:lang w:eastAsia="lv-LV"/>
              </w:rPr>
              <w:t>%</w:t>
            </w:r>
          </w:p>
        </w:tc>
      </w:tr>
      <w:tr w:rsidR="00A938F6" w:rsidRPr="00CE68EA" w14:paraId="1A579952" w14:textId="77777777" w:rsidTr="007F4A1A">
        <w:trPr>
          <w:trHeight w:val="142"/>
        </w:trPr>
        <w:tc>
          <w:tcPr>
            <w:tcW w:w="2258" w:type="dxa"/>
            <w:hideMark/>
          </w:tcPr>
          <w:p w14:paraId="2FA1640B" w14:textId="77777777" w:rsidR="00A938F6" w:rsidRPr="00CE68EA" w:rsidRDefault="00A938F6" w:rsidP="00A938F6">
            <w:pPr>
              <w:spacing w:before="0"/>
              <w:jc w:val="left"/>
              <w:rPr>
                <w:rFonts w:eastAsia="Times New Roman" w:cstheme="minorHAnsi"/>
                <w:sz w:val="22"/>
                <w:szCs w:val="22"/>
                <w:lang w:eastAsia="lv-LV"/>
              </w:rPr>
            </w:pPr>
            <w:r w:rsidRPr="00CE68EA">
              <w:rPr>
                <w:rFonts w:eastAsia="Times New Roman" w:cstheme="minorHAnsi"/>
                <w:sz w:val="22"/>
                <w:szCs w:val="22"/>
                <w:lang w:eastAsia="lv-LV"/>
              </w:rPr>
              <w:t>Citi ieņēmumi no valsts budžeta</w:t>
            </w:r>
          </w:p>
        </w:tc>
        <w:tc>
          <w:tcPr>
            <w:tcW w:w="1140" w:type="dxa"/>
            <w:noWrap/>
            <w:hideMark/>
          </w:tcPr>
          <w:p w14:paraId="5D87D6D5" w14:textId="002750FB" w:rsidR="00A938F6" w:rsidRPr="00CE68EA" w:rsidRDefault="00215DE8" w:rsidP="00A938F6">
            <w:pPr>
              <w:spacing w:before="0"/>
              <w:jc w:val="right"/>
              <w:rPr>
                <w:rFonts w:eastAsia="Times New Roman" w:cstheme="minorHAnsi"/>
                <w:sz w:val="22"/>
                <w:szCs w:val="22"/>
                <w:lang w:eastAsia="lv-LV"/>
              </w:rPr>
            </w:pPr>
            <w:r w:rsidRPr="00CE68EA">
              <w:rPr>
                <w:rFonts w:eastAsia="Times New Roman" w:cstheme="minorHAnsi"/>
                <w:sz w:val="22"/>
                <w:szCs w:val="22"/>
                <w:lang w:eastAsia="lv-LV"/>
              </w:rPr>
              <w:t>0</w:t>
            </w:r>
          </w:p>
        </w:tc>
        <w:tc>
          <w:tcPr>
            <w:tcW w:w="1140" w:type="dxa"/>
            <w:noWrap/>
            <w:hideMark/>
          </w:tcPr>
          <w:p w14:paraId="3F49853E" w14:textId="16C141D4" w:rsidR="00A938F6" w:rsidRPr="00CE68EA" w:rsidRDefault="00215DE8" w:rsidP="00A938F6">
            <w:pPr>
              <w:spacing w:before="0"/>
              <w:jc w:val="right"/>
              <w:rPr>
                <w:rFonts w:eastAsia="Times New Roman" w:cstheme="minorHAnsi"/>
                <w:sz w:val="22"/>
                <w:szCs w:val="22"/>
                <w:lang w:eastAsia="lv-LV"/>
              </w:rPr>
            </w:pPr>
            <w:r w:rsidRPr="00CE68EA">
              <w:rPr>
                <w:rFonts w:eastAsia="Times New Roman" w:cstheme="minorHAnsi"/>
                <w:sz w:val="22"/>
                <w:szCs w:val="22"/>
                <w:lang w:eastAsia="lv-LV"/>
              </w:rPr>
              <w:t>3265</w:t>
            </w:r>
          </w:p>
        </w:tc>
        <w:tc>
          <w:tcPr>
            <w:tcW w:w="1140" w:type="dxa"/>
            <w:noWrap/>
            <w:hideMark/>
          </w:tcPr>
          <w:p w14:paraId="02896987" w14:textId="0E202545" w:rsidR="00A938F6" w:rsidRPr="00CE68EA" w:rsidRDefault="00215DE8" w:rsidP="00A938F6">
            <w:pPr>
              <w:spacing w:before="0"/>
              <w:jc w:val="right"/>
              <w:rPr>
                <w:rFonts w:eastAsia="Times New Roman" w:cstheme="minorHAnsi"/>
                <w:sz w:val="22"/>
                <w:szCs w:val="22"/>
                <w:lang w:eastAsia="lv-LV"/>
              </w:rPr>
            </w:pPr>
            <w:r w:rsidRPr="00CE68EA">
              <w:rPr>
                <w:rFonts w:eastAsia="Times New Roman" w:cstheme="minorHAnsi"/>
                <w:sz w:val="22"/>
                <w:szCs w:val="22"/>
                <w:lang w:eastAsia="lv-LV"/>
              </w:rPr>
              <w:t>13</w:t>
            </w:r>
            <w:r w:rsidR="004B434F" w:rsidRPr="00CE68EA">
              <w:rPr>
                <w:rFonts w:eastAsia="Times New Roman" w:cstheme="minorHAnsi"/>
                <w:sz w:val="22"/>
                <w:szCs w:val="22"/>
                <w:lang w:eastAsia="lv-LV"/>
              </w:rPr>
              <w:t xml:space="preserve"> </w:t>
            </w:r>
            <w:r w:rsidRPr="00CE68EA">
              <w:rPr>
                <w:rFonts w:eastAsia="Times New Roman" w:cstheme="minorHAnsi"/>
                <w:sz w:val="22"/>
                <w:szCs w:val="22"/>
                <w:lang w:eastAsia="lv-LV"/>
              </w:rPr>
              <w:t>058</w:t>
            </w:r>
          </w:p>
        </w:tc>
        <w:tc>
          <w:tcPr>
            <w:tcW w:w="940" w:type="dxa"/>
            <w:noWrap/>
            <w:hideMark/>
          </w:tcPr>
          <w:p w14:paraId="6CA216E3" w14:textId="024270D5" w:rsidR="00A938F6" w:rsidRPr="00CE68EA" w:rsidRDefault="004B434F" w:rsidP="00A938F6">
            <w:pPr>
              <w:spacing w:before="0"/>
              <w:jc w:val="right"/>
              <w:rPr>
                <w:rFonts w:eastAsia="Times New Roman" w:cstheme="minorHAnsi"/>
                <w:sz w:val="22"/>
                <w:szCs w:val="22"/>
                <w:lang w:eastAsia="lv-LV"/>
              </w:rPr>
            </w:pPr>
            <w:r w:rsidRPr="00CE68EA">
              <w:rPr>
                <w:rFonts w:eastAsia="Times New Roman" w:cstheme="minorHAnsi"/>
                <w:sz w:val="22"/>
                <w:szCs w:val="22"/>
                <w:lang w:eastAsia="lv-LV"/>
              </w:rPr>
              <w:t>13 058</w:t>
            </w:r>
          </w:p>
        </w:tc>
        <w:tc>
          <w:tcPr>
            <w:tcW w:w="944" w:type="dxa"/>
            <w:noWrap/>
            <w:hideMark/>
          </w:tcPr>
          <w:p w14:paraId="2155012C" w14:textId="51EE8752" w:rsidR="00A938F6" w:rsidRPr="00CE68EA" w:rsidRDefault="00A938F6" w:rsidP="004B434F">
            <w:pPr>
              <w:spacing w:before="0"/>
              <w:jc w:val="center"/>
              <w:rPr>
                <w:rFonts w:eastAsia="Times New Roman" w:cstheme="minorHAnsi"/>
                <w:sz w:val="22"/>
                <w:szCs w:val="22"/>
                <w:lang w:eastAsia="lv-LV"/>
              </w:rPr>
            </w:pPr>
            <w:r w:rsidRPr="00CE68EA">
              <w:rPr>
                <w:rFonts w:eastAsia="Times New Roman" w:cstheme="minorHAnsi"/>
                <w:sz w:val="22"/>
                <w:szCs w:val="22"/>
                <w:lang w:eastAsia="lv-LV"/>
              </w:rPr>
              <w:t>-</w:t>
            </w:r>
          </w:p>
        </w:tc>
        <w:tc>
          <w:tcPr>
            <w:tcW w:w="940" w:type="dxa"/>
            <w:noWrap/>
            <w:hideMark/>
          </w:tcPr>
          <w:p w14:paraId="551AC562" w14:textId="0FD5E0FC" w:rsidR="00A938F6" w:rsidRPr="00CE68EA" w:rsidRDefault="004B434F" w:rsidP="00A938F6">
            <w:pPr>
              <w:spacing w:before="0"/>
              <w:jc w:val="right"/>
              <w:rPr>
                <w:rFonts w:eastAsia="Times New Roman" w:cstheme="minorHAnsi"/>
                <w:sz w:val="22"/>
                <w:szCs w:val="22"/>
                <w:lang w:eastAsia="lv-LV"/>
              </w:rPr>
            </w:pPr>
            <w:r w:rsidRPr="00CE68EA">
              <w:rPr>
                <w:rFonts w:eastAsia="Times New Roman" w:cstheme="minorHAnsi"/>
                <w:sz w:val="22"/>
                <w:szCs w:val="22"/>
                <w:lang w:eastAsia="lv-LV"/>
              </w:rPr>
              <w:t>9793</w:t>
            </w:r>
          </w:p>
        </w:tc>
        <w:tc>
          <w:tcPr>
            <w:tcW w:w="983" w:type="dxa"/>
            <w:noWrap/>
            <w:hideMark/>
          </w:tcPr>
          <w:p w14:paraId="7F13169E" w14:textId="3E4366FB" w:rsidR="00A938F6" w:rsidRPr="00CE68EA" w:rsidRDefault="004B434F" w:rsidP="00A938F6">
            <w:pPr>
              <w:spacing w:before="0"/>
              <w:jc w:val="center"/>
              <w:rPr>
                <w:rFonts w:eastAsia="Times New Roman" w:cstheme="minorHAnsi"/>
                <w:sz w:val="22"/>
                <w:szCs w:val="22"/>
                <w:lang w:eastAsia="lv-LV"/>
              </w:rPr>
            </w:pPr>
            <w:r w:rsidRPr="00CE68EA">
              <w:rPr>
                <w:rFonts w:eastAsia="Times New Roman" w:cstheme="minorHAnsi"/>
                <w:sz w:val="22"/>
                <w:szCs w:val="22"/>
                <w:lang w:eastAsia="lv-LV"/>
              </w:rPr>
              <w:t>299,94</w:t>
            </w:r>
            <w:r w:rsidR="00A938F6" w:rsidRPr="00CE68EA">
              <w:rPr>
                <w:rFonts w:eastAsia="Times New Roman" w:cstheme="minorHAnsi"/>
                <w:sz w:val="22"/>
                <w:szCs w:val="22"/>
                <w:lang w:eastAsia="lv-LV"/>
              </w:rPr>
              <w:t>%</w:t>
            </w:r>
          </w:p>
        </w:tc>
      </w:tr>
      <w:tr w:rsidR="00A938F6" w:rsidRPr="00CE68EA" w14:paraId="60CC90AB" w14:textId="77777777" w:rsidTr="007F4A1A">
        <w:trPr>
          <w:trHeight w:val="315"/>
        </w:trPr>
        <w:tc>
          <w:tcPr>
            <w:tcW w:w="2258" w:type="dxa"/>
            <w:hideMark/>
          </w:tcPr>
          <w:p w14:paraId="2DA1A440" w14:textId="77777777" w:rsidR="00A938F6" w:rsidRPr="00CE68EA" w:rsidRDefault="00A938F6" w:rsidP="00A938F6">
            <w:pPr>
              <w:spacing w:before="0"/>
              <w:jc w:val="left"/>
              <w:rPr>
                <w:rFonts w:eastAsia="Times New Roman" w:cstheme="minorHAnsi"/>
                <w:sz w:val="22"/>
                <w:szCs w:val="22"/>
                <w:lang w:eastAsia="lv-LV"/>
              </w:rPr>
            </w:pPr>
            <w:r w:rsidRPr="00CE68EA">
              <w:rPr>
                <w:rFonts w:eastAsia="Times New Roman" w:cstheme="minorHAnsi"/>
                <w:sz w:val="22"/>
                <w:szCs w:val="22"/>
                <w:lang w:eastAsia="lv-LV"/>
              </w:rPr>
              <w:t>Maksas medicīniskie pakalpojumi</w:t>
            </w:r>
          </w:p>
        </w:tc>
        <w:tc>
          <w:tcPr>
            <w:tcW w:w="1140" w:type="dxa"/>
            <w:noWrap/>
            <w:hideMark/>
          </w:tcPr>
          <w:p w14:paraId="2D26ED57" w14:textId="05C00557" w:rsidR="00A938F6" w:rsidRPr="00CE68EA" w:rsidRDefault="002E2718" w:rsidP="00A938F6">
            <w:pPr>
              <w:spacing w:before="0"/>
              <w:jc w:val="right"/>
              <w:rPr>
                <w:rFonts w:eastAsia="Times New Roman" w:cstheme="minorHAnsi"/>
                <w:sz w:val="22"/>
                <w:szCs w:val="22"/>
                <w:lang w:eastAsia="lv-LV"/>
              </w:rPr>
            </w:pPr>
            <w:r w:rsidRPr="00CE68EA">
              <w:rPr>
                <w:rFonts w:eastAsia="Times New Roman" w:cstheme="minorHAnsi"/>
                <w:sz w:val="22"/>
                <w:szCs w:val="22"/>
                <w:lang w:eastAsia="lv-LV"/>
              </w:rPr>
              <w:t>6 471</w:t>
            </w:r>
          </w:p>
        </w:tc>
        <w:tc>
          <w:tcPr>
            <w:tcW w:w="1140" w:type="dxa"/>
            <w:noWrap/>
            <w:hideMark/>
          </w:tcPr>
          <w:p w14:paraId="496BDE06" w14:textId="71377301" w:rsidR="00A938F6" w:rsidRPr="00CE68EA" w:rsidRDefault="00215DE8" w:rsidP="00A938F6">
            <w:pPr>
              <w:spacing w:before="0"/>
              <w:jc w:val="right"/>
              <w:rPr>
                <w:rFonts w:eastAsia="Times New Roman" w:cstheme="minorHAnsi"/>
                <w:sz w:val="22"/>
                <w:szCs w:val="22"/>
                <w:lang w:eastAsia="lv-LV"/>
              </w:rPr>
            </w:pPr>
            <w:r w:rsidRPr="00CE68EA">
              <w:rPr>
                <w:rFonts w:eastAsia="Times New Roman" w:cstheme="minorHAnsi"/>
                <w:sz w:val="22"/>
                <w:szCs w:val="22"/>
                <w:lang w:eastAsia="lv-LV"/>
              </w:rPr>
              <w:t>11 515</w:t>
            </w:r>
          </w:p>
        </w:tc>
        <w:tc>
          <w:tcPr>
            <w:tcW w:w="1140" w:type="dxa"/>
            <w:noWrap/>
            <w:hideMark/>
          </w:tcPr>
          <w:p w14:paraId="4A316798" w14:textId="465A79AB" w:rsidR="00A938F6" w:rsidRPr="00CE68EA" w:rsidRDefault="00215DE8" w:rsidP="00A938F6">
            <w:pPr>
              <w:spacing w:before="0"/>
              <w:jc w:val="right"/>
              <w:rPr>
                <w:rFonts w:eastAsia="Times New Roman" w:cstheme="minorHAnsi"/>
                <w:sz w:val="22"/>
                <w:szCs w:val="22"/>
                <w:lang w:eastAsia="lv-LV"/>
              </w:rPr>
            </w:pPr>
            <w:r w:rsidRPr="00CE68EA">
              <w:rPr>
                <w:rFonts w:eastAsia="Times New Roman" w:cstheme="minorHAnsi"/>
                <w:sz w:val="22"/>
                <w:szCs w:val="22"/>
                <w:lang w:eastAsia="lv-LV"/>
              </w:rPr>
              <w:t>8042</w:t>
            </w:r>
          </w:p>
        </w:tc>
        <w:tc>
          <w:tcPr>
            <w:tcW w:w="940" w:type="dxa"/>
            <w:noWrap/>
            <w:hideMark/>
          </w:tcPr>
          <w:p w14:paraId="645FFCC5" w14:textId="2DE4611B" w:rsidR="00A938F6" w:rsidRPr="00CE68EA" w:rsidRDefault="004B434F" w:rsidP="00A938F6">
            <w:pPr>
              <w:spacing w:before="0"/>
              <w:jc w:val="right"/>
              <w:rPr>
                <w:rFonts w:eastAsia="Times New Roman" w:cstheme="minorHAnsi"/>
                <w:sz w:val="22"/>
                <w:szCs w:val="22"/>
                <w:lang w:eastAsia="lv-LV"/>
              </w:rPr>
            </w:pPr>
            <w:r w:rsidRPr="00CE68EA">
              <w:rPr>
                <w:rFonts w:eastAsia="Times New Roman" w:cstheme="minorHAnsi"/>
                <w:sz w:val="22"/>
                <w:szCs w:val="22"/>
                <w:lang w:eastAsia="lv-LV"/>
              </w:rPr>
              <w:t>1 571</w:t>
            </w:r>
          </w:p>
        </w:tc>
        <w:tc>
          <w:tcPr>
            <w:tcW w:w="944" w:type="dxa"/>
            <w:noWrap/>
            <w:hideMark/>
          </w:tcPr>
          <w:p w14:paraId="51710781" w14:textId="29D48236" w:rsidR="00A938F6" w:rsidRPr="00CE68EA" w:rsidRDefault="004B434F" w:rsidP="00A938F6">
            <w:pPr>
              <w:spacing w:before="0"/>
              <w:jc w:val="center"/>
              <w:rPr>
                <w:rFonts w:eastAsia="Times New Roman" w:cstheme="minorHAnsi"/>
                <w:sz w:val="22"/>
                <w:szCs w:val="22"/>
                <w:lang w:eastAsia="lv-LV"/>
              </w:rPr>
            </w:pPr>
            <w:r w:rsidRPr="00CE68EA">
              <w:rPr>
                <w:rFonts w:eastAsia="Times New Roman" w:cstheme="minorHAnsi"/>
                <w:sz w:val="22"/>
                <w:szCs w:val="22"/>
                <w:lang w:eastAsia="lv-LV"/>
              </w:rPr>
              <w:t>24.28%</w:t>
            </w:r>
          </w:p>
        </w:tc>
        <w:tc>
          <w:tcPr>
            <w:tcW w:w="940" w:type="dxa"/>
            <w:noWrap/>
            <w:hideMark/>
          </w:tcPr>
          <w:p w14:paraId="7839B5F4" w14:textId="296F6F02" w:rsidR="00A938F6" w:rsidRPr="00CE68EA" w:rsidRDefault="004B434F" w:rsidP="00A938F6">
            <w:pPr>
              <w:spacing w:before="0"/>
              <w:jc w:val="right"/>
              <w:rPr>
                <w:rFonts w:eastAsia="Times New Roman" w:cstheme="minorHAnsi"/>
                <w:sz w:val="22"/>
                <w:szCs w:val="22"/>
                <w:lang w:eastAsia="lv-LV"/>
              </w:rPr>
            </w:pPr>
            <w:r w:rsidRPr="00CE68EA">
              <w:rPr>
                <w:rFonts w:eastAsia="Times New Roman" w:cstheme="minorHAnsi"/>
                <w:sz w:val="22"/>
                <w:szCs w:val="22"/>
                <w:lang w:eastAsia="lv-LV"/>
              </w:rPr>
              <w:t>-3 473</w:t>
            </w:r>
          </w:p>
        </w:tc>
        <w:tc>
          <w:tcPr>
            <w:tcW w:w="983" w:type="dxa"/>
            <w:noWrap/>
            <w:hideMark/>
          </w:tcPr>
          <w:p w14:paraId="59064687" w14:textId="0DA719C3" w:rsidR="00A938F6" w:rsidRPr="00CE68EA" w:rsidRDefault="004B434F" w:rsidP="00A938F6">
            <w:pPr>
              <w:spacing w:before="0"/>
              <w:jc w:val="center"/>
              <w:rPr>
                <w:rFonts w:eastAsia="Times New Roman" w:cstheme="minorHAnsi"/>
                <w:sz w:val="22"/>
                <w:szCs w:val="22"/>
                <w:lang w:eastAsia="lv-LV"/>
              </w:rPr>
            </w:pPr>
            <w:r w:rsidRPr="00CE68EA">
              <w:rPr>
                <w:rFonts w:eastAsia="Times New Roman" w:cstheme="minorHAnsi"/>
                <w:sz w:val="22"/>
                <w:szCs w:val="22"/>
                <w:lang w:eastAsia="lv-LV"/>
              </w:rPr>
              <w:t>-30.16%</w:t>
            </w:r>
          </w:p>
        </w:tc>
      </w:tr>
      <w:tr w:rsidR="00A938F6" w:rsidRPr="00CE68EA" w14:paraId="40E16494" w14:textId="77777777" w:rsidTr="007F4A1A">
        <w:trPr>
          <w:trHeight w:val="315"/>
        </w:trPr>
        <w:tc>
          <w:tcPr>
            <w:tcW w:w="2258" w:type="dxa"/>
            <w:hideMark/>
          </w:tcPr>
          <w:p w14:paraId="22D6D1FB" w14:textId="77777777" w:rsidR="00A938F6" w:rsidRPr="00CE68EA" w:rsidRDefault="00A938F6" w:rsidP="00A938F6">
            <w:pPr>
              <w:spacing w:before="0"/>
              <w:jc w:val="left"/>
              <w:rPr>
                <w:rFonts w:eastAsia="Times New Roman" w:cstheme="minorHAnsi"/>
                <w:sz w:val="22"/>
                <w:szCs w:val="22"/>
                <w:lang w:eastAsia="lv-LV"/>
              </w:rPr>
            </w:pPr>
            <w:r w:rsidRPr="00CE68EA">
              <w:rPr>
                <w:rFonts w:eastAsia="Times New Roman" w:cstheme="minorHAnsi"/>
                <w:sz w:val="22"/>
                <w:szCs w:val="22"/>
                <w:lang w:eastAsia="lv-LV"/>
              </w:rPr>
              <w:t>Citi saimnieciskās darbības ieņēmumi</w:t>
            </w:r>
          </w:p>
        </w:tc>
        <w:tc>
          <w:tcPr>
            <w:tcW w:w="1140" w:type="dxa"/>
            <w:noWrap/>
            <w:hideMark/>
          </w:tcPr>
          <w:p w14:paraId="26424634" w14:textId="56223D47" w:rsidR="00A938F6" w:rsidRPr="00CE68EA" w:rsidRDefault="004B434F" w:rsidP="00A938F6">
            <w:pPr>
              <w:spacing w:before="0"/>
              <w:jc w:val="right"/>
              <w:rPr>
                <w:rFonts w:eastAsia="Times New Roman" w:cstheme="minorHAnsi"/>
                <w:sz w:val="22"/>
                <w:szCs w:val="22"/>
                <w:lang w:eastAsia="lv-LV"/>
              </w:rPr>
            </w:pPr>
            <w:r w:rsidRPr="00CE68EA">
              <w:rPr>
                <w:rFonts w:eastAsia="Times New Roman" w:cstheme="minorHAnsi"/>
                <w:sz w:val="22"/>
                <w:szCs w:val="22"/>
                <w:lang w:eastAsia="lv-LV"/>
              </w:rPr>
              <w:t>31 501</w:t>
            </w:r>
          </w:p>
        </w:tc>
        <w:tc>
          <w:tcPr>
            <w:tcW w:w="1140" w:type="dxa"/>
            <w:noWrap/>
            <w:hideMark/>
          </w:tcPr>
          <w:p w14:paraId="578BFF52" w14:textId="35C92ECB" w:rsidR="00A938F6" w:rsidRPr="00CE68EA" w:rsidRDefault="004B434F" w:rsidP="00A938F6">
            <w:pPr>
              <w:spacing w:before="0"/>
              <w:jc w:val="right"/>
              <w:rPr>
                <w:rFonts w:eastAsia="Times New Roman" w:cstheme="minorHAnsi"/>
                <w:sz w:val="22"/>
                <w:szCs w:val="22"/>
                <w:lang w:eastAsia="lv-LV"/>
              </w:rPr>
            </w:pPr>
            <w:r w:rsidRPr="00CE68EA">
              <w:rPr>
                <w:rFonts w:eastAsia="Times New Roman" w:cstheme="minorHAnsi"/>
                <w:sz w:val="22"/>
                <w:szCs w:val="22"/>
                <w:lang w:eastAsia="lv-LV"/>
              </w:rPr>
              <w:t>1 175</w:t>
            </w:r>
          </w:p>
        </w:tc>
        <w:tc>
          <w:tcPr>
            <w:tcW w:w="1140" w:type="dxa"/>
            <w:noWrap/>
            <w:hideMark/>
          </w:tcPr>
          <w:p w14:paraId="30CEE31A" w14:textId="34CD6F9D" w:rsidR="00A938F6" w:rsidRPr="00CE68EA" w:rsidRDefault="004B434F" w:rsidP="00A938F6">
            <w:pPr>
              <w:spacing w:before="0"/>
              <w:jc w:val="right"/>
              <w:rPr>
                <w:rFonts w:eastAsia="Times New Roman" w:cstheme="minorHAnsi"/>
                <w:sz w:val="22"/>
                <w:szCs w:val="22"/>
                <w:lang w:eastAsia="lv-LV"/>
              </w:rPr>
            </w:pPr>
            <w:r w:rsidRPr="00CE68EA">
              <w:rPr>
                <w:rFonts w:eastAsia="Times New Roman" w:cstheme="minorHAnsi"/>
                <w:sz w:val="22"/>
                <w:szCs w:val="22"/>
                <w:lang w:eastAsia="lv-LV"/>
              </w:rPr>
              <w:t>1 994</w:t>
            </w:r>
          </w:p>
        </w:tc>
        <w:tc>
          <w:tcPr>
            <w:tcW w:w="940" w:type="dxa"/>
            <w:noWrap/>
            <w:hideMark/>
          </w:tcPr>
          <w:p w14:paraId="0BEB2F05" w14:textId="3D9DDAF7" w:rsidR="00A938F6" w:rsidRPr="00CE68EA" w:rsidRDefault="004B434F" w:rsidP="00A938F6">
            <w:pPr>
              <w:spacing w:before="0"/>
              <w:jc w:val="right"/>
              <w:rPr>
                <w:rFonts w:eastAsia="Times New Roman" w:cstheme="minorHAnsi"/>
                <w:sz w:val="22"/>
                <w:szCs w:val="22"/>
                <w:lang w:eastAsia="lv-LV"/>
              </w:rPr>
            </w:pPr>
            <w:r w:rsidRPr="00CE68EA">
              <w:rPr>
                <w:rFonts w:eastAsia="Times New Roman" w:cstheme="minorHAnsi"/>
                <w:sz w:val="22"/>
                <w:szCs w:val="22"/>
                <w:lang w:eastAsia="lv-LV"/>
              </w:rPr>
              <w:t>-29 507</w:t>
            </w:r>
          </w:p>
        </w:tc>
        <w:tc>
          <w:tcPr>
            <w:tcW w:w="944" w:type="dxa"/>
            <w:noWrap/>
            <w:hideMark/>
          </w:tcPr>
          <w:p w14:paraId="58778CBC" w14:textId="343AEEDF" w:rsidR="00A938F6" w:rsidRPr="00CE68EA" w:rsidRDefault="004B434F" w:rsidP="00A938F6">
            <w:pPr>
              <w:spacing w:before="0"/>
              <w:jc w:val="center"/>
              <w:rPr>
                <w:rFonts w:eastAsia="Times New Roman" w:cstheme="minorHAnsi"/>
                <w:sz w:val="22"/>
                <w:szCs w:val="22"/>
                <w:lang w:eastAsia="lv-LV"/>
              </w:rPr>
            </w:pPr>
            <w:r w:rsidRPr="00CE68EA">
              <w:rPr>
                <w:rFonts w:eastAsia="Times New Roman" w:cstheme="minorHAnsi"/>
                <w:sz w:val="22"/>
                <w:szCs w:val="22"/>
                <w:lang w:eastAsia="lv-LV"/>
              </w:rPr>
              <w:t>-93,67%</w:t>
            </w:r>
          </w:p>
        </w:tc>
        <w:tc>
          <w:tcPr>
            <w:tcW w:w="940" w:type="dxa"/>
            <w:noWrap/>
            <w:hideMark/>
          </w:tcPr>
          <w:p w14:paraId="7D5EF1CB" w14:textId="4C1B44BD" w:rsidR="00A938F6" w:rsidRPr="00CE68EA" w:rsidRDefault="004B434F" w:rsidP="004B434F">
            <w:pPr>
              <w:spacing w:before="0"/>
              <w:jc w:val="right"/>
              <w:rPr>
                <w:rFonts w:eastAsia="Times New Roman" w:cstheme="minorHAnsi"/>
                <w:sz w:val="22"/>
                <w:szCs w:val="22"/>
                <w:lang w:eastAsia="lv-LV"/>
              </w:rPr>
            </w:pPr>
            <w:r w:rsidRPr="00CE68EA">
              <w:rPr>
                <w:rFonts w:eastAsia="Times New Roman" w:cstheme="minorHAnsi"/>
                <w:sz w:val="22"/>
                <w:szCs w:val="22"/>
                <w:lang w:eastAsia="lv-LV"/>
              </w:rPr>
              <w:t>819</w:t>
            </w:r>
          </w:p>
        </w:tc>
        <w:tc>
          <w:tcPr>
            <w:tcW w:w="983" w:type="dxa"/>
            <w:noWrap/>
            <w:hideMark/>
          </w:tcPr>
          <w:p w14:paraId="3E6EEF5C" w14:textId="2DD69BB0" w:rsidR="00A938F6" w:rsidRPr="00CE68EA" w:rsidRDefault="004B434F" w:rsidP="00A938F6">
            <w:pPr>
              <w:spacing w:before="0"/>
              <w:jc w:val="center"/>
              <w:rPr>
                <w:rFonts w:eastAsia="Times New Roman" w:cstheme="minorHAnsi"/>
                <w:sz w:val="22"/>
                <w:szCs w:val="22"/>
                <w:lang w:eastAsia="lv-LV"/>
              </w:rPr>
            </w:pPr>
            <w:r w:rsidRPr="00CE68EA">
              <w:rPr>
                <w:rFonts w:eastAsia="Times New Roman" w:cstheme="minorHAnsi"/>
                <w:sz w:val="22"/>
                <w:szCs w:val="22"/>
                <w:lang w:eastAsia="lv-LV"/>
              </w:rPr>
              <w:t>69.70%</w:t>
            </w:r>
          </w:p>
        </w:tc>
      </w:tr>
      <w:tr w:rsidR="00A938F6" w:rsidRPr="00CE68EA" w14:paraId="5DED5B31" w14:textId="77777777" w:rsidTr="007F4A1A">
        <w:trPr>
          <w:trHeight w:val="315"/>
        </w:trPr>
        <w:tc>
          <w:tcPr>
            <w:tcW w:w="2258" w:type="dxa"/>
            <w:hideMark/>
          </w:tcPr>
          <w:p w14:paraId="21DC5889" w14:textId="77777777" w:rsidR="00A938F6" w:rsidRPr="00CE68EA" w:rsidRDefault="00A938F6" w:rsidP="00A938F6">
            <w:pPr>
              <w:spacing w:before="0"/>
              <w:jc w:val="left"/>
              <w:rPr>
                <w:rFonts w:eastAsia="Times New Roman" w:cstheme="minorHAnsi"/>
                <w:sz w:val="22"/>
                <w:szCs w:val="22"/>
                <w:lang w:eastAsia="lv-LV"/>
              </w:rPr>
            </w:pPr>
            <w:r w:rsidRPr="00CE68EA">
              <w:rPr>
                <w:rFonts w:eastAsia="Times New Roman" w:cstheme="minorHAnsi"/>
                <w:sz w:val="22"/>
                <w:szCs w:val="22"/>
                <w:lang w:eastAsia="lv-LV"/>
              </w:rPr>
              <w:t>Citi ieņēmumi</w:t>
            </w:r>
          </w:p>
        </w:tc>
        <w:tc>
          <w:tcPr>
            <w:tcW w:w="1140" w:type="dxa"/>
            <w:noWrap/>
            <w:hideMark/>
          </w:tcPr>
          <w:p w14:paraId="1D3D4049" w14:textId="326DA8FC" w:rsidR="00A938F6" w:rsidRPr="00CE68EA" w:rsidRDefault="004B434F" w:rsidP="00A938F6">
            <w:pPr>
              <w:spacing w:before="0"/>
              <w:jc w:val="right"/>
              <w:rPr>
                <w:rFonts w:eastAsia="Times New Roman" w:cstheme="minorHAnsi"/>
                <w:sz w:val="22"/>
                <w:szCs w:val="22"/>
                <w:lang w:eastAsia="lv-LV"/>
              </w:rPr>
            </w:pPr>
            <w:r w:rsidRPr="00CE68EA">
              <w:rPr>
                <w:rFonts w:eastAsia="Times New Roman" w:cstheme="minorHAnsi"/>
                <w:sz w:val="22"/>
                <w:szCs w:val="22"/>
                <w:lang w:eastAsia="lv-LV"/>
              </w:rPr>
              <w:t>35 343</w:t>
            </w:r>
          </w:p>
        </w:tc>
        <w:tc>
          <w:tcPr>
            <w:tcW w:w="1140" w:type="dxa"/>
            <w:noWrap/>
            <w:hideMark/>
          </w:tcPr>
          <w:p w14:paraId="51D7F30E" w14:textId="50CCB9EF" w:rsidR="00A938F6" w:rsidRPr="00CE68EA" w:rsidRDefault="004B434F" w:rsidP="00A938F6">
            <w:pPr>
              <w:spacing w:before="0"/>
              <w:jc w:val="right"/>
              <w:rPr>
                <w:rFonts w:eastAsia="Times New Roman" w:cstheme="minorHAnsi"/>
                <w:sz w:val="22"/>
                <w:szCs w:val="22"/>
                <w:lang w:eastAsia="lv-LV"/>
              </w:rPr>
            </w:pPr>
            <w:r w:rsidRPr="00CE68EA">
              <w:rPr>
                <w:rFonts w:eastAsia="Times New Roman" w:cstheme="minorHAnsi"/>
                <w:sz w:val="22"/>
                <w:szCs w:val="22"/>
                <w:lang w:eastAsia="lv-LV"/>
              </w:rPr>
              <w:t>53 629</w:t>
            </w:r>
          </w:p>
        </w:tc>
        <w:tc>
          <w:tcPr>
            <w:tcW w:w="1140" w:type="dxa"/>
            <w:noWrap/>
            <w:hideMark/>
          </w:tcPr>
          <w:p w14:paraId="64944550" w14:textId="60A9B6F3" w:rsidR="00A938F6" w:rsidRPr="00CE68EA" w:rsidRDefault="004B434F" w:rsidP="00A938F6">
            <w:pPr>
              <w:spacing w:before="0"/>
              <w:jc w:val="right"/>
              <w:rPr>
                <w:rFonts w:eastAsia="Times New Roman" w:cstheme="minorHAnsi"/>
                <w:sz w:val="22"/>
                <w:szCs w:val="22"/>
                <w:lang w:eastAsia="lv-LV"/>
              </w:rPr>
            </w:pPr>
            <w:r w:rsidRPr="00CE68EA">
              <w:rPr>
                <w:rFonts w:eastAsia="Times New Roman" w:cstheme="minorHAnsi"/>
                <w:sz w:val="22"/>
                <w:szCs w:val="22"/>
                <w:lang w:eastAsia="lv-LV"/>
              </w:rPr>
              <w:t>52 436</w:t>
            </w:r>
          </w:p>
        </w:tc>
        <w:tc>
          <w:tcPr>
            <w:tcW w:w="940" w:type="dxa"/>
            <w:noWrap/>
            <w:hideMark/>
          </w:tcPr>
          <w:p w14:paraId="2733F71D" w14:textId="6C9A9703" w:rsidR="00A938F6" w:rsidRPr="00CE68EA" w:rsidRDefault="004B434F" w:rsidP="00A938F6">
            <w:pPr>
              <w:spacing w:before="0"/>
              <w:jc w:val="right"/>
              <w:rPr>
                <w:rFonts w:eastAsia="Times New Roman" w:cstheme="minorHAnsi"/>
                <w:sz w:val="22"/>
                <w:szCs w:val="22"/>
                <w:lang w:eastAsia="lv-LV"/>
              </w:rPr>
            </w:pPr>
            <w:r w:rsidRPr="00CE68EA">
              <w:rPr>
                <w:rFonts w:eastAsia="Times New Roman" w:cstheme="minorHAnsi"/>
                <w:sz w:val="22"/>
                <w:szCs w:val="22"/>
                <w:lang w:eastAsia="lv-LV"/>
              </w:rPr>
              <w:t>17 093</w:t>
            </w:r>
          </w:p>
        </w:tc>
        <w:tc>
          <w:tcPr>
            <w:tcW w:w="944" w:type="dxa"/>
            <w:noWrap/>
            <w:hideMark/>
          </w:tcPr>
          <w:p w14:paraId="0F9BE057" w14:textId="214D9701" w:rsidR="00A938F6" w:rsidRPr="00CE68EA" w:rsidRDefault="004B434F" w:rsidP="004B434F">
            <w:pPr>
              <w:spacing w:before="0"/>
              <w:jc w:val="center"/>
              <w:rPr>
                <w:rFonts w:eastAsia="Times New Roman" w:cstheme="minorHAnsi"/>
                <w:sz w:val="22"/>
                <w:szCs w:val="22"/>
                <w:lang w:eastAsia="lv-LV"/>
              </w:rPr>
            </w:pPr>
            <w:r w:rsidRPr="00CE68EA">
              <w:rPr>
                <w:rFonts w:eastAsia="Times New Roman" w:cstheme="minorHAnsi"/>
                <w:sz w:val="22"/>
                <w:szCs w:val="22"/>
                <w:lang w:eastAsia="lv-LV"/>
              </w:rPr>
              <w:t>48,36%</w:t>
            </w:r>
          </w:p>
        </w:tc>
        <w:tc>
          <w:tcPr>
            <w:tcW w:w="940" w:type="dxa"/>
            <w:noWrap/>
            <w:hideMark/>
          </w:tcPr>
          <w:p w14:paraId="69FA240C" w14:textId="1D188828" w:rsidR="00A938F6" w:rsidRPr="00CE68EA" w:rsidRDefault="004B434F" w:rsidP="00A938F6">
            <w:pPr>
              <w:spacing w:before="0"/>
              <w:jc w:val="right"/>
              <w:rPr>
                <w:rFonts w:eastAsia="Times New Roman" w:cstheme="minorHAnsi"/>
                <w:sz w:val="22"/>
                <w:szCs w:val="22"/>
                <w:lang w:eastAsia="lv-LV"/>
              </w:rPr>
            </w:pPr>
            <w:r w:rsidRPr="00CE68EA">
              <w:rPr>
                <w:rFonts w:eastAsia="Times New Roman" w:cstheme="minorHAnsi"/>
                <w:sz w:val="22"/>
                <w:szCs w:val="22"/>
                <w:lang w:eastAsia="lv-LV"/>
              </w:rPr>
              <w:t>-1193</w:t>
            </w:r>
          </w:p>
        </w:tc>
        <w:tc>
          <w:tcPr>
            <w:tcW w:w="983" w:type="dxa"/>
            <w:noWrap/>
            <w:hideMark/>
          </w:tcPr>
          <w:p w14:paraId="3C45D446" w14:textId="725B3D7D" w:rsidR="00A938F6" w:rsidRPr="00CE68EA" w:rsidRDefault="004B434F" w:rsidP="00A938F6">
            <w:pPr>
              <w:spacing w:before="0"/>
              <w:jc w:val="center"/>
              <w:rPr>
                <w:rFonts w:eastAsia="Times New Roman" w:cstheme="minorHAnsi"/>
                <w:sz w:val="22"/>
                <w:szCs w:val="22"/>
                <w:lang w:eastAsia="lv-LV"/>
              </w:rPr>
            </w:pPr>
            <w:r w:rsidRPr="00CE68EA">
              <w:rPr>
                <w:rFonts w:eastAsia="Times New Roman" w:cstheme="minorHAnsi"/>
                <w:sz w:val="22"/>
                <w:szCs w:val="22"/>
                <w:lang w:eastAsia="lv-LV"/>
              </w:rPr>
              <w:t>-2,22%</w:t>
            </w:r>
          </w:p>
        </w:tc>
      </w:tr>
    </w:tbl>
    <w:p w14:paraId="7614E34C" w14:textId="04ACB901" w:rsidR="00A938F6" w:rsidRPr="00CE68EA" w:rsidRDefault="004B434F" w:rsidP="00131E43">
      <w:pPr>
        <w:rPr>
          <w:rFonts w:cstheme="minorHAnsi"/>
        </w:rPr>
      </w:pPr>
      <w:r w:rsidRPr="00CE68EA">
        <w:rPr>
          <w:rFonts w:cstheme="minorHAnsi"/>
          <w:noProof/>
          <w:lang w:eastAsia="lv-LV"/>
        </w:rPr>
        <w:lastRenderedPageBreak/>
        <w:drawing>
          <wp:inline distT="0" distB="0" distL="0" distR="0" wp14:anchorId="06930949" wp14:editId="3DC54E95">
            <wp:extent cx="5448300" cy="2638425"/>
            <wp:effectExtent l="0" t="0" r="0" b="9525"/>
            <wp:docPr id="2" name="Chart 2">
              <a:extLst xmlns:a="http://schemas.openxmlformats.org/drawingml/2006/main">
                <a:ext uri="{FF2B5EF4-FFF2-40B4-BE49-F238E27FC236}">
                  <a16:creationId xmlns:a16="http://schemas.microsoft.com/office/drawing/2014/main" id="{A060785D-D70A-40F3-889A-4E19F85EB4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0A03BE3" w14:textId="3024553A" w:rsidR="00A938F6" w:rsidRPr="00CE68EA" w:rsidRDefault="69630B24" w:rsidP="69630B24">
      <w:pPr>
        <w:rPr>
          <w:rFonts w:cstheme="minorHAnsi"/>
          <w:color w:val="FF0000"/>
        </w:rPr>
      </w:pPr>
      <w:r w:rsidRPr="00CE68EA">
        <w:rPr>
          <w:rFonts w:cstheme="minorHAnsi"/>
        </w:rPr>
        <w:t>Slimnīcas ieņēmumus galvenokārt veido stacionāro veselības aprūpes pakalpojumu ieņēmumi, kas 202</w:t>
      </w:r>
      <w:r w:rsidR="00C4798F" w:rsidRPr="00CE68EA">
        <w:rPr>
          <w:rFonts w:cstheme="minorHAnsi"/>
        </w:rPr>
        <w:t>5</w:t>
      </w:r>
      <w:r w:rsidRPr="00CE68EA">
        <w:rPr>
          <w:rFonts w:cstheme="minorHAnsi"/>
        </w:rPr>
        <w:t>.gadā</w:t>
      </w:r>
      <w:r w:rsidR="004B434F" w:rsidRPr="00CE68EA">
        <w:rPr>
          <w:rFonts w:cstheme="minorHAnsi"/>
        </w:rPr>
        <w:t xml:space="preserve"> 1.cet.</w:t>
      </w:r>
      <w:r w:rsidRPr="00CE68EA">
        <w:rPr>
          <w:rFonts w:cstheme="minorHAnsi"/>
        </w:rPr>
        <w:t xml:space="preserve"> pieauguši par 1</w:t>
      </w:r>
      <w:r w:rsidR="004B434F" w:rsidRPr="00CE68EA">
        <w:rPr>
          <w:rFonts w:cstheme="minorHAnsi"/>
        </w:rPr>
        <w:t>1</w:t>
      </w:r>
      <w:r w:rsidRPr="00CE68EA">
        <w:rPr>
          <w:rFonts w:cstheme="minorHAnsi"/>
        </w:rPr>
        <w:t>% pret 202</w:t>
      </w:r>
      <w:r w:rsidR="00C4798F" w:rsidRPr="00CE68EA">
        <w:rPr>
          <w:rFonts w:cstheme="minorHAnsi"/>
        </w:rPr>
        <w:t>4</w:t>
      </w:r>
      <w:r w:rsidR="004B434F" w:rsidRPr="00CE68EA">
        <w:rPr>
          <w:rFonts w:cstheme="minorHAnsi"/>
        </w:rPr>
        <w:t>.gada 1.cet.</w:t>
      </w:r>
      <w:r w:rsidR="00724896" w:rsidRPr="00CE68EA">
        <w:rPr>
          <w:rFonts w:cstheme="minorHAnsi"/>
        </w:rPr>
        <w:t xml:space="preserve"> </w:t>
      </w:r>
      <w:r w:rsidR="009A3ECD">
        <w:rPr>
          <w:rFonts w:cstheme="minorHAnsi"/>
        </w:rPr>
        <w:t>Plānoto pakalpojumu ieņēmumu novirze galvenokārt</w:t>
      </w:r>
      <w:r w:rsidR="009A3ECD" w:rsidRPr="00CE68EA">
        <w:rPr>
          <w:rFonts w:cstheme="minorHAnsi"/>
        </w:rPr>
        <w:t xml:space="preserve"> </w:t>
      </w:r>
      <w:r w:rsidR="009A3ECD">
        <w:rPr>
          <w:rFonts w:cstheme="minorHAnsi"/>
        </w:rPr>
        <w:t>veidojas no rehabilitācijas pakalpojumiem</w:t>
      </w:r>
      <w:r w:rsidR="003D4191">
        <w:rPr>
          <w:rFonts w:cstheme="minorHAnsi"/>
        </w:rPr>
        <w:t xml:space="preserve"> stacionārā</w:t>
      </w:r>
      <w:r w:rsidR="009A3ECD">
        <w:rPr>
          <w:rFonts w:cstheme="minorHAnsi"/>
        </w:rPr>
        <w:t>, kas</w:t>
      </w:r>
      <w:r w:rsidR="003D4191">
        <w:rPr>
          <w:rFonts w:cstheme="minorHAnsi"/>
        </w:rPr>
        <w:t xml:space="preserve"> ņemot vērā pakalpojumu apmaksas specifiku,</w:t>
      </w:r>
      <w:r w:rsidR="009A3ECD">
        <w:rPr>
          <w:rFonts w:cstheme="minorHAnsi"/>
        </w:rPr>
        <w:t xml:space="preserve"> izlīdzināsies turpmākajos pārskata periodos. </w:t>
      </w:r>
      <w:r w:rsidR="00724896" w:rsidRPr="00CE68EA">
        <w:rPr>
          <w:rFonts w:cstheme="minorHAnsi"/>
        </w:rPr>
        <w:t xml:space="preserve">Ambulatoro pakalpojumu ieņēmumi  </w:t>
      </w:r>
      <w:r w:rsidRPr="00CE68EA">
        <w:rPr>
          <w:rFonts w:cstheme="minorHAnsi"/>
        </w:rPr>
        <w:t xml:space="preserve"> 202</w:t>
      </w:r>
      <w:r w:rsidR="00C4798F" w:rsidRPr="00CE68EA">
        <w:rPr>
          <w:rFonts w:cstheme="minorHAnsi"/>
        </w:rPr>
        <w:t>5</w:t>
      </w:r>
      <w:r w:rsidRPr="00CE68EA">
        <w:rPr>
          <w:rFonts w:cstheme="minorHAnsi"/>
        </w:rPr>
        <w:t>.gadā</w:t>
      </w:r>
      <w:r w:rsidR="0067558D" w:rsidRPr="00CE68EA">
        <w:rPr>
          <w:rFonts w:cstheme="minorHAnsi"/>
        </w:rPr>
        <w:t xml:space="preserve"> 1 cet.</w:t>
      </w:r>
      <w:r w:rsidR="00724896" w:rsidRPr="00CE68EA">
        <w:rPr>
          <w:rFonts w:cstheme="minorHAnsi"/>
        </w:rPr>
        <w:t xml:space="preserve"> salīdzinot ar 2024.gadu 1.cet. </w:t>
      </w:r>
      <w:r w:rsidRPr="00CE68EA">
        <w:rPr>
          <w:rFonts w:cstheme="minorHAnsi"/>
        </w:rPr>
        <w:t xml:space="preserve">ir </w:t>
      </w:r>
      <w:r w:rsidR="00724896" w:rsidRPr="00CE68EA">
        <w:rPr>
          <w:rFonts w:cstheme="minorHAnsi"/>
        </w:rPr>
        <w:t>pieauguši par 0,36%. Citi saimnieciskās darbības ieņēmumus veido telpu nomas un komunālo pakalpojumu sniegšana, kas 2025.gada 1.cet. ir  samazināju</w:t>
      </w:r>
      <w:r w:rsidR="003D4191">
        <w:rPr>
          <w:rFonts w:cstheme="minorHAnsi"/>
        </w:rPr>
        <w:t>s</w:t>
      </w:r>
      <w:r w:rsidR="00724896" w:rsidRPr="00CE68EA">
        <w:rPr>
          <w:rFonts w:cstheme="minorHAnsi"/>
        </w:rPr>
        <w:t xml:space="preserve">ies, jo Slimnīca </w:t>
      </w:r>
      <w:r w:rsidR="009A3ECD">
        <w:rPr>
          <w:rFonts w:cstheme="minorHAnsi"/>
        </w:rPr>
        <w:t>uzsāka sniegt</w:t>
      </w:r>
      <w:r w:rsidR="00724896" w:rsidRPr="00CE68EA">
        <w:rPr>
          <w:rFonts w:cstheme="minorHAnsi"/>
        </w:rPr>
        <w:t xml:space="preserve"> narkoloģijas </w:t>
      </w:r>
      <w:r w:rsidR="009A3ECD">
        <w:rPr>
          <w:rFonts w:cstheme="minorHAnsi"/>
        </w:rPr>
        <w:t xml:space="preserve">profila </w:t>
      </w:r>
      <w:r w:rsidR="00724896" w:rsidRPr="00CE68EA">
        <w:rPr>
          <w:rFonts w:cstheme="minorHAnsi"/>
        </w:rPr>
        <w:t>pakalpojumu</w:t>
      </w:r>
      <w:r w:rsidR="009A3ECD">
        <w:rPr>
          <w:rFonts w:cstheme="minorHAnsi"/>
        </w:rPr>
        <w:t>s, savukārt</w:t>
      </w:r>
      <w:r w:rsidR="00724896" w:rsidRPr="00CE68EA">
        <w:rPr>
          <w:rFonts w:cstheme="minorHAnsi"/>
        </w:rPr>
        <w:t xml:space="preserve"> Liepājas Reģionālās slimnīcas</w:t>
      </w:r>
      <w:r w:rsidR="009A3ECD">
        <w:rPr>
          <w:rFonts w:cstheme="minorHAnsi"/>
        </w:rPr>
        <w:t xml:space="preserve"> pārtrauca sniegt pakalpojumus Slimnīcas telpās, rezultātā pārtraucot arī telpu nomas līgumu</w:t>
      </w:r>
      <w:r w:rsidR="00724896" w:rsidRPr="00CE68EA">
        <w:rPr>
          <w:rFonts w:cstheme="minorHAnsi"/>
        </w:rPr>
        <w:t xml:space="preserve">.  </w:t>
      </w:r>
    </w:p>
    <w:p w14:paraId="3B4459A3" w14:textId="0C694E94" w:rsidR="00C912BF" w:rsidRPr="00CE68EA" w:rsidRDefault="00C912BF" w:rsidP="00131E43">
      <w:pPr>
        <w:rPr>
          <w:rFonts w:cstheme="minorHAnsi"/>
        </w:rPr>
      </w:pPr>
      <w:r w:rsidRPr="00CE68EA">
        <w:rPr>
          <w:rFonts w:cstheme="minorHAnsi"/>
        </w:rPr>
        <w:t xml:space="preserve">Izdevumu sadalījums </w:t>
      </w:r>
      <w:r w:rsidR="00C4798F" w:rsidRPr="00CE68EA">
        <w:rPr>
          <w:rFonts w:cstheme="minorHAnsi"/>
        </w:rPr>
        <w:t>2025. gada 3. mēnešiem</w:t>
      </w:r>
      <w:r w:rsidR="00A734D4" w:rsidRPr="00CE68EA">
        <w:rPr>
          <w:rFonts w:cstheme="minorHAnsi"/>
        </w:rPr>
        <w:t>:</w:t>
      </w:r>
    </w:p>
    <w:tbl>
      <w:tblPr>
        <w:tblStyle w:val="Reatabula1gaia-izclums2"/>
        <w:tblW w:w="9562" w:type="dxa"/>
        <w:tblLook w:val="04A0" w:firstRow="1" w:lastRow="0" w:firstColumn="1" w:lastColumn="0" w:noHBand="0" w:noVBand="1"/>
      </w:tblPr>
      <w:tblGrid>
        <w:gridCol w:w="2258"/>
        <w:gridCol w:w="1140"/>
        <w:gridCol w:w="1140"/>
        <w:gridCol w:w="1140"/>
        <w:gridCol w:w="940"/>
        <w:gridCol w:w="988"/>
        <w:gridCol w:w="993"/>
        <w:gridCol w:w="963"/>
      </w:tblGrid>
      <w:tr w:rsidR="00196CF3" w:rsidRPr="00CE68EA" w14:paraId="271B4983" w14:textId="77777777" w:rsidTr="00264BF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58" w:type="dxa"/>
            <w:vMerge w:val="restart"/>
            <w:hideMark/>
          </w:tcPr>
          <w:p w14:paraId="2AA471A3" w14:textId="77777777" w:rsidR="00196CF3" w:rsidRPr="00CE68EA" w:rsidRDefault="00196CF3" w:rsidP="00196CF3">
            <w:pPr>
              <w:spacing w:before="0"/>
              <w:jc w:val="center"/>
              <w:rPr>
                <w:rFonts w:eastAsia="Times New Roman" w:cstheme="minorHAnsi"/>
                <w:b w:val="0"/>
                <w:bCs w:val="0"/>
                <w:sz w:val="22"/>
                <w:szCs w:val="22"/>
                <w:lang w:eastAsia="lv-LV"/>
              </w:rPr>
            </w:pPr>
            <w:r w:rsidRPr="00CE68EA">
              <w:rPr>
                <w:rFonts w:eastAsia="Times New Roman" w:cstheme="minorHAnsi"/>
                <w:sz w:val="22"/>
                <w:szCs w:val="22"/>
                <w:lang w:eastAsia="lv-LV"/>
              </w:rPr>
              <w:t>Nosaukums/ Mērvienība</w:t>
            </w:r>
          </w:p>
        </w:tc>
        <w:tc>
          <w:tcPr>
            <w:tcW w:w="1140" w:type="dxa"/>
            <w:vMerge w:val="restart"/>
            <w:hideMark/>
          </w:tcPr>
          <w:p w14:paraId="01A84D64" w14:textId="3F707043" w:rsidR="00196CF3" w:rsidRPr="00CE68EA" w:rsidRDefault="00196CF3" w:rsidP="00196CF3">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2"/>
                <w:szCs w:val="22"/>
                <w:lang w:eastAsia="lv-LV"/>
              </w:rPr>
            </w:pPr>
            <w:r w:rsidRPr="00CE68EA">
              <w:rPr>
                <w:rFonts w:eastAsia="Times New Roman" w:cstheme="minorHAnsi"/>
                <w:sz w:val="22"/>
                <w:szCs w:val="22"/>
                <w:lang w:eastAsia="lv-LV"/>
              </w:rPr>
              <w:t xml:space="preserve">Izpilde 2024. gada 3 </w:t>
            </w:r>
            <w:proofErr w:type="spellStart"/>
            <w:r w:rsidRPr="00CE68EA">
              <w:rPr>
                <w:rFonts w:eastAsia="Times New Roman" w:cstheme="minorHAnsi"/>
                <w:sz w:val="22"/>
                <w:szCs w:val="22"/>
                <w:lang w:eastAsia="lv-LV"/>
              </w:rPr>
              <w:t>mēn</w:t>
            </w:r>
            <w:proofErr w:type="spellEnd"/>
            <w:r w:rsidRPr="00CE68EA">
              <w:rPr>
                <w:rFonts w:eastAsia="Times New Roman" w:cstheme="minorHAnsi"/>
                <w:sz w:val="22"/>
                <w:szCs w:val="22"/>
                <w:lang w:eastAsia="lv-LV"/>
              </w:rPr>
              <w:t>.</w:t>
            </w:r>
          </w:p>
        </w:tc>
        <w:tc>
          <w:tcPr>
            <w:tcW w:w="1140" w:type="dxa"/>
            <w:vMerge w:val="restart"/>
            <w:hideMark/>
          </w:tcPr>
          <w:p w14:paraId="30AD9A45" w14:textId="38A7CC3B" w:rsidR="00196CF3" w:rsidRPr="00CE68EA" w:rsidRDefault="00196CF3" w:rsidP="00196CF3">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2"/>
                <w:szCs w:val="22"/>
                <w:lang w:eastAsia="lv-LV"/>
              </w:rPr>
            </w:pPr>
            <w:r w:rsidRPr="00CE68EA">
              <w:rPr>
                <w:rFonts w:eastAsia="Times New Roman" w:cstheme="minorHAnsi"/>
                <w:sz w:val="22"/>
                <w:szCs w:val="22"/>
                <w:lang w:eastAsia="lv-LV"/>
              </w:rPr>
              <w:t xml:space="preserve">Plāns 2025. gada 3 </w:t>
            </w:r>
            <w:proofErr w:type="spellStart"/>
            <w:r w:rsidRPr="00CE68EA">
              <w:rPr>
                <w:rFonts w:eastAsia="Times New Roman" w:cstheme="minorHAnsi"/>
                <w:sz w:val="22"/>
                <w:szCs w:val="22"/>
                <w:lang w:eastAsia="lv-LV"/>
              </w:rPr>
              <w:t>mēn</w:t>
            </w:r>
            <w:proofErr w:type="spellEnd"/>
            <w:r w:rsidRPr="00CE68EA">
              <w:rPr>
                <w:rFonts w:eastAsia="Times New Roman" w:cstheme="minorHAnsi"/>
                <w:sz w:val="22"/>
                <w:szCs w:val="22"/>
                <w:lang w:eastAsia="lv-LV"/>
              </w:rPr>
              <w:t>.</w:t>
            </w:r>
          </w:p>
        </w:tc>
        <w:tc>
          <w:tcPr>
            <w:tcW w:w="1140" w:type="dxa"/>
            <w:vMerge w:val="restart"/>
            <w:hideMark/>
          </w:tcPr>
          <w:p w14:paraId="0F04119A" w14:textId="3A85D484" w:rsidR="00196CF3" w:rsidRPr="00CE68EA" w:rsidRDefault="00196CF3" w:rsidP="00196CF3">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2"/>
                <w:szCs w:val="22"/>
                <w:lang w:eastAsia="lv-LV"/>
              </w:rPr>
            </w:pPr>
            <w:r w:rsidRPr="00CE68EA">
              <w:rPr>
                <w:rFonts w:eastAsia="Times New Roman" w:cstheme="minorHAnsi"/>
                <w:sz w:val="22"/>
                <w:szCs w:val="22"/>
                <w:lang w:eastAsia="lv-LV"/>
              </w:rPr>
              <w:t xml:space="preserve">Izpilde 2025. gada 3 </w:t>
            </w:r>
            <w:proofErr w:type="spellStart"/>
            <w:r w:rsidRPr="00CE68EA">
              <w:rPr>
                <w:rFonts w:eastAsia="Times New Roman" w:cstheme="minorHAnsi"/>
                <w:sz w:val="22"/>
                <w:szCs w:val="22"/>
                <w:lang w:eastAsia="lv-LV"/>
              </w:rPr>
              <w:t>mēn</w:t>
            </w:r>
            <w:proofErr w:type="spellEnd"/>
            <w:r w:rsidRPr="00CE68EA">
              <w:rPr>
                <w:rFonts w:eastAsia="Times New Roman" w:cstheme="minorHAnsi"/>
                <w:sz w:val="22"/>
                <w:szCs w:val="22"/>
                <w:lang w:eastAsia="lv-LV"/>
              </w:rPr>
              <w:t>.</w:t>
            </w:r>
          </w:p>
        </w:tc>
        <w:tc>
          <w:tcPr>
            <w:tcW w:w="1928" w:type="dxa"/>
            <w:gridSpan w:val="2"/>
            <w:hideMark/>
          </w:tcPr>
          <w:p w14:paraId="2A23F955" w14:textId="3C3DDA81" w:rsidR="00196CF3" w:rsidRPr="00CE68EA" w:rsidRDefault="00196CF3" w:rsidP="00196CF3">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2"/>
                <w:szCs w:val="22"/>
                <w:lang w:eastAsia="lv-LV"/>
              </w:rPr>
            </w:pPr>
            <w:r w:rsidRPr="00CE68EA">
              <w:rPr>
                <w:rFonts w:eastAsia="Times New Roman" w:cstheme="minorHAnsi"/>
                <w:sz w:val="22"/>
                <w:szCs w:val="22"/>
                <w:lang w:eastAsia="lv-LV"/>
              </w:rPr>
              <w:t xml:space="preserve">Novirze pret 2024.gada 3 </w:t>
            </w:r>
            <w:proofErr w:type="spellStart"/>
            <w:r w:rsidRPr="00CE68EA">
              <w:rPr>
                <w:rFonts w:eastAsia="Times New Roman" w:cstheme="minorHAnsi"/>
                <w:sz w:val="22"/>
                <w:szCs w:val="22"/>
                <w:lang w:eastAsia="lv-LV"/>
              </w:rPr>
              <w:t>mēn</w:t>
            </w:r>
            <w:proofErr w:type="spellEnd"/>
            <w:r w:rsidRPr="00CE68EA">
              <w:rPr>
                <w:rFonts w:eastAsia="Times New Roman" w:cstheme="minorHAnsi"/>
                <w:sz w:val="22"/>
                <w:szCs w:val="22"/>
                <w:lang w:eastAsia="lv-LV"/>
              </w:rPr>
              <w:t>.</w:t>
            </w:r>
          </w:p>
        </w:tc>
        <w:tc>
          <w:tcPr>
            <w:tcW w:w="1956" w:type="dxa"/>
            <w:gridSpan w:val="2"/>
            <w:hideMark/>
          </w:tcPr>
          <w:p w14:paraId="4120EC70" w14:textId="55FE4FCA" w:rsidR="00196CF3" w:rsidRPr="00CE68EA" w:rsidRDefault="00196CF3" w:rsidP="00196CF3">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2"/>
                <w:szCs w:val="22"/>
                <w:lang w:eastAsia="lv-LV"/>
              </w:rPr>
            </w:pPr>
            <w:r w:rsidRPr="00CE68EA">
              <w:rPr>
                <w:rFonts w:eastAsia="Times New Roman" w:cstheme="minorHAnsi"/>
                <w:sz w:val="22"/>
                <w:szCs w:val="22"/>
                <w:lang w:eastAsia="lv-LV"/>
              </w:rPr>
              <w:t xml:space="preserve">Novirze pret 2025.gada 3 </w:t>
            </w:r>
            <w:proofErr w:type="spellStart"/>
            <w:r w:rsidRPr="00CE68EA">
              <w:rPr>
                <w:rFonts w:eastAsia="Times New Roman" w:cstheme="minorHAnsi"/>
                <w:sz w:val="22"/>
                <w:szCs w:val="22"/>
                <w:lang w:eastAsia="lv-LV"/>
              </w:rPr>
              <w:t>mēn</w:t>
            </w:r>
            <w:proofErr w:type="spellEnd"/>
            <w:r w:rsidRPr="00CE68EA">
              <w:rPr>
                <w:rFonts w:eastAsia="Times New Roman" w:cstheme="minorHAnsi"/>
                <w:sz w:val="22"/>
                <w:szCs w:val="22"/>
                <w:lang w:eastAsia="lv-LV"/>
              </w:rPr>
              <w:t>. plānu</w:t>
            </w:r>
          </w:p>
        </w:tc>
      </w:tr>
      <w:tr w:rsidR="00101BE7" w:rsidRPr="00CE68EA" w14:paraId="0C818C25" w14:textId="77777777" w:rsidTr="00264BFB">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258" w:type="dxa"/>
            <w:vMerge/>
            <w:hideMark/>
          </w:tcPr>
          <w:p w14:paraId="5CDFE707" w14:textId="77777777" w:rsidR="001E272F" w:rsidRPr="00CE68EA" w:rsidRDefault="001E272F" w:rsidP="001E272F">
            <w:pPr>
              <w:spacing w:before="0"/>
              <w:jc w:val="left"/>
              <w:rPr>
                <w:rFonts w:eastAsia="Times New Roman" w:cstheme="minorHAnsi"/>
                <w:b w:val="0"/>
                <w:bCs w:val="0"/>
                <w:sz w:val="22"/>
                <w:szCs w:val="22"/>
                <w:lang w:eastAsia="lv-LV"/>
              </w:rPr>
            </w:pPr>
          </w:p>
        </w:tc>
        <w:tc>
          <w:tcPr>
            <w:tcW w:w="1140" w:type="dxa"/>
            <w:vMerge/>
            <w:hideMark/>
          </w:tcPr>
          <w:p w14:paraId="14AED97A" w14:textId="77777777" w:rsidR="001E272F" w:rsidRPr="00CE68EA" w:rsidRDefault="001E272F" w:rsidP="001E272F">
            <w:pPr>
              <w:spacing w:before="0"/>
              <w:jc w:val="left"/>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2"/>
                <w:szCs w:val="22"/>
                <w:lang w:eastAsia="lv-LV"/>
              </w:rPr>
            </w:pPr>
          </w:p>
        </w:tc>
        <w:tc>
          <w:tcPr>
            <w:tcW w:w="1140" w:type="dxa"/>
            <w:vMerge/>
            <w:hideMark/>
          </w:tcPr>
          <w:p w14:paraId="12D9E04F" w14:textId="77777777" w:rsidR="001E272F" w:rsidRPr="00CE68EA" w:rsidRDefault="001E272F" w:rsidP="001E272F">
            <w:pPr>
              <w:spacing w:before="0"/>
              <w:jc w:val="left"/>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2"/>
                <w:szCs w:val="22"/>
                <w:lang w:eastAsia="lv-LV"/>
              </w:rPr>
            </w:pPr>
          </w:p>
        </w:tc>
        <w:tc>
          <w:tcPr>
            <w:tcW w:w="1140" w:type="dxa"/>
            <w:vMerge/>
            <w:hideMark/>
          </w:tcPr>
          <w:p w14:paraId="4B7EF903" w14:textId="77777777" w:rsidR="001E272F" w:rsidRPr="00CE68EA" w:rsidRDefault="001E272F" w:rsidP="001E272F">
            <w:pPr>
              <w:spacing w:before="0"/>
              <w:jc w:val="left"/>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2"/>
                <w:szCs w:val="22"/>
                <w:lang w:eastAsia="lv-LV"/>
              </w:rPr>
            </w:pPr>
          </w:p>
        </w:tc>
        <w:tc>
          <w:tcPr>
            <w:tcW w:w="940" w:type="dxa"/>
            <w:hideMark/>
          </w:tcPr>
          <w:p w14:paraId="6123B869" w14:textId="77777777" w:rsidR="001E272F" w:rsidRPr="00CE68EA" w:rsidRDefault="001E272F" w:rsidP="001E272F">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2"/>
                <w:szCs w:val="22"/>
                <w:lang w:eastAsia="lv-LV"/>
              </w:rPr>
            </w:pPr>
            <w:r w:rsidRPr="00CE68EA">
              <w:rPr>
                <w:rFonts w:eastAsia="Times New Roman" w:cstheme="minorHAnsi"/>
                <w:sz w:val="22"/>
                <w:szCs w:val="22"/>
                <w:lang w:eastAsia="lv-LV"/>
              </w:rPr>
              <w:t>EUR</w:t>
            </w:r>
          </w:p>
        </w:tc>
        <w:tc>
          <w:tcPr>
            <w:tcW w:w="988" w:type="dxa"/>
            <w:hideMark/>
          </w:tcPr>
          <w:p w14:paraId="3266898F" w14:textId="77777777" w:rsidR="001E272F" w:rsidRPr="00CE68EA" w:rsidRDefault="001E272F" w:rsidP="001E272F">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2"/>
                <w:szCs w:val="22"/>
                <w:lang w:eastAsia="lv-LV"/>
              </w:rPr>
            </w:pPr>
            <w:r w:rsidRPr="00CE68EA">
              <w:rPr>
                <w:rFonts w:eastAsia="Times New Roman" w:cstheme="minorHAnsi"/>
                <w:sz w:val="22"/>
                <w:szCs w:val="22"/>
                <w:lang w:eastAsia="lv-LV"/>
              </w:rPr>
              <w:t>%</w:t>
            </w:r>
          </w:p>
        </w:tc>
        <w:tc>
          <w:tcPr>
            <w:tcW w:w="993" w:type="dxa"/>
            <w:hideMark/>
          </w:tcPr>
          <w:p w14:paraId="22B7FEA1" w14:textId="77777777" w:rsidR="001E272F" w:rsidRPr="00CE68EA" w:rsidRDefault="001E272F" w:rsidP="001E272F">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2"/>
                <w:szCs w:val="22"/>
                <w:lang w:eastAsia="lv-LV"/>
              </w:rPr>
            </w:pPr>
            <w:r w:rsidRPr="00CE68EA">
              <w:rPr>
                <w:rFonts w:eastAsia="Times New Roman" w:cstheme="minorHAnsi"/>
                <w:sz w:val="22"/>
                <w:szCs w:val="22"/>
                <w:lang w:eastAsia="lv-LV"/>
              </w:rPr>
              <w:t>EUR</w:t>
            </w:r>
          </w:p>
        </w:tc>
        <w:tc>
          <w:tcPr>
            <w:tcW w:w="963" w:type="dxa"/>
            <w:hideMark/>
          </w:tcPr>
          <w:p w14:paraId="07B02B80" w14:textId="77777777" w:rsidR="001E272F" w:rsidRPr="00CE68EA" w:rsidRDefault="001E272F" w:rsidP="001E272F">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2"/>
                <w:szCs w:val="22"/>
                <w:lang w:eastAsia="lv-LV"/>
              </w:rPr>
            </w:pPr>
            <w:r w:rsidRPr="00CE68EA">
              <w:rPr>
                <w:rFonts w:eastAsia="Times New Roman" w:cstheme="minorHAnsi"/>
                <w:sz w:val="22"/>
                <w:szCs w:val="22"/>
                <w:lang w:eastAsia="lv-LV"/>
              </w:rPr>
              <w:t>%</w:t>
            </w:r>
          </w:p>
        </w:tc>
      </w:tr>
      <w:tr w:rsidR="001E272F" w:rsidRPr="00CE68EA" w14:paraId="7D1DA173" w14:textId="77777777" w:rsidTr="007F4A1A">
        <w:trPr>
          <w:trHeight w:val="615"/>
        </w:trPr>
        <w:tc>
          <w:tcPr>
            <w:cnfStyle w:val="001000000000" w:firstRow="0" w:lastRow="0" w:firstColumn="1" w:lastColumn="0" w:oddVBand="0" w:evenVBand="0" w:oddHBand="0" w:evenHBand="0" w:firstRowFirstColumn="0" w:firstRowLastColumn="0" w:lastRowFirstColumn="0" w:lastRowLastColumn="0"/>
            <w:tcW w:w="2258" w:type="dxa"/>
            <w:hideMark/>
          </w:tcPr>
          <w:p w14:paraId="60EA1539" w14:textId="77777777" w:rsidR="001E272F" w:rsidRPr="00CE68EA" w:rsidRDefault="001E272F" w:rsidP="001E272F">
            <w:pPr>
              <w:spacing w:before="0"/>
              <w:jc w:val="left"/>
              <w:rPr>
                <w:rFonts w:eastAsia="Times New Roman" w:cstheme="minorHAnsi"/>
                <w:sz w:val="22"/>
                <w:szCs w:val="22"/>
                <w:lang w:eastAsia="lv-LV"/>
              </w:rPr>
            </w:pPr>
            <w:r w:rsidRPr="00CE68EA">
              <w:rPr>
                <w:rFonts w:eastAsia="Times New Roman" w:cstheme="minorHAnsi"/>
                <w:sz w:val="22"/>
                <w:szCs w:val="22"/>
                <w:lang w:eastAsia="lv-LV"/>
              </w:rPr>
              <w:t>Izdevumi atalgojumam par darbu</w:t>
            </w:r>
          </w:p>
        </w:tc>
        <w:tc>
          <w:tcPr>
            <w:tcW w:w="1140" w:type="dxa"/>
            <w:noWrap/>
            <w:hideMark/>
          </w:tcPr>
          <w:p w14:paraId="0F3D04E0" w14:textId="16B3EF22" w:rsidR="001E272F" w:rsidRPr="00CE68EA" w:rsidRDefault="00DD4A5F" w:rsidP="001E27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850 487</w:t>
            </w:r>
          </w:p>
        </w:tc>
        <w:tc>
          <w:tcPr>
            <w:tcW w:w="1140" w:type="dxa"/>
            <w:noWrap/>
            <w:hideMark/>
          </w:tcPr>
          <w:p w14:paraId="32F0BEB2" w14:textId="12EC559D" w:rsidR="001E272F" w:rsidRPr="00CE68EA" w:rsidRDefault="00DD4A5F" w:rsidP="001E27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962 117</w:t>
            </w:r>
          </w:p>
        </w:tc>
        <w:tc>
          <w:tcPr>
            <w:tcW w:w="1140" w:type="dxa"/>
            <w:noWrap/>
            <w:hideMark/>
          </w:tcPr>
          <w:p w14:paraId="58D08AC7" w14:textId="30F089EC" w:rsidR="001E272F" w:rsidRPr="00CE68EA" w:rsidRDefault="00DD4A5F" w:rsidP="001E27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954 433</w:t>
            </w:r>
          </w:p>
        </w:tc>
        <w:tc>
          <w:tcPr>
            <w:tcW w:w="940" w:type="dxa"/>
            <w:noWrap/>
            <w:hideMark/>
          </w:tcPr>
          <w:p w14:paraId="5368E582" w14:textId="3330DB2E" w:rsidR="001E272F" w:rsidRPr="00CE68EA" w:rsidRDefault="00DD4A5F" w:rsidP="001E27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103 946</w:t>
            </w:r>
          </w:p>
        </w:tc>
        <w:tc>
          <w:tcPr>
            <w:tcW w:w="988" w:type="dxa"/>
            <w:noWrap/>
            <w:hideMark/>
          </w:tcPr>
          <w:p w14:paraId="7A3997AC" w14:textId="03CB8BFB" w:rsidR="001E272F" w:rsidRPr="00CE68EA" w:rsidRDefault="00DD4A5F" w:rsidP="001E272F">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12 22</w:t>
            </w:r>
            <w:r w:rsidR="001E272F" w:rsidRPr="00CE68EA">
              <w:rPr>
                <w:rFonts w:eastAsia="Times New Roman" w:cstheme="minorHAnsi"/>
                <w:sz w:val="22"/>
                <w:szCs w:val="22"/>
                <w:lang w:eastAsia="lv-LV"/>
              </w:rPr>
              <w:t>%</w:t>
            </w:r>
          </w:p>
        </w:tc>
        <w:tc>
          <w:tcPr>
            <w:tcW w:w="993" w:type="dxa"/>
            <w:noWrap/>
            <w:hideMark/>
          </w:tcPr>
          <w:p w14:paraId="0E7C8D76" w14:textId="1911A48D" w:rsidR="001E272F" w:rsidRPr="00CE68EA" w:rsidRDefault="00DD4A5F" w:rsidP="001E27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-7 684</w:t>
            </w:r>
          </w:p>
        </w:tc>
        <w:tc>
          <w:tcPr>
            <w:tcW w:w="963" w:type="dxa"/>
            <w:noWrap/>
            <w:hideMark/>
          </w:tcPr>
          <w:p w14:paraId="5B4B919A" w14:textId="14EFDE5D" w:rsidR="001E272F" w:rsidRPr="00CE68EA" w:rsidRDefault="00DD4A5F" w:rsidP="001E272F">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-0,80</w:t>
            </w:r>
            <w:r w:rsidR="001E272F" w:rsidRPr="00CE68EA">
              <w:rPr>
                <w:rFonts w:eastAsia="Times New Roman" w:cstheme="minorHAnsi"/>
                <w:sz w:val="22"/>
                <w:szCs w:val="22"/>
                <w:lang w:eastAsia="lv-LV"/>
              </w:rPr>
              <w:t>%</w:t>
            </w:r>
          </w:p>
        </w:tc>
      </w:tr>
      <w:tr w:rsidR="001E272F" w:rsidRPr="00CE68EA" w14:paraId="7D810D7A" w14:textId="77777777" w:rsidTr="007F4A1A">
        <w:trPr>
          <w:trHeight w:val="615"/>
        </w:trPr>
        <w:tc>
          <w:tcPr>
            <w:cnfStyle w:val="001000000000" w:firstRow="0" w:lastRow="0" w:firstColumn="1" w:lastColumn="0" w:oddVBand="0" w:evenVBand="0" w:oddHBand="0" w:evenHBand="0" w:firstRowFirstColumn="0" w:firstRowLastColumn="0" w:lastRowFirstColumn="0" w:lastRowLastColumn="0"/>
            <w:tcW w:w="2258" w:type="dxa"/>
            <w:hideMark/>
          </w:tcPr>
          <w:p w14:paraId="74C7B72E" w14:textId="77777777" w:rsidR="001E272F" w:rsidRPr="00CE68EA" w:rsidRDefault="001E272F" w:rsidP="001E272F">
            <w:pPr>
              <w:spacing w:before="0"/>
              <w:jc w:val="left"/>
              <w:rPr>
                <w:rFonts w:eastAsia="Times New Roman" w:cstheme="minorHAnsi"/>
                <w:sz w:val="22"/>
                <w:szCs w:val="22"/>
                <w:lang w:eastAsia="lv-LV"/>
              </w:rPr>
            </w:pPr>
            <w:r w:rsidRPr="00CE68EA">
              <w:rPr>
                <w:rFonts w:eastAsia="Times New Roman" w:cstheme="minorHAnsi"/>
                <w:sz w:val="22"/>
                <w:szCs w:val="22"/>
                <w:lang w:eastAsia="lv-LV"/>
              </w:rPr>
              <w:t>Darba devēja VSAOI, pabalsti un kompensācijas</w:t>
            </w:r>
          </w:p>
        </w:tc>
        <w:tc>
          <w:tcPr>
            <w:tcW w:w="1140" w:type="dxa"/>
            <w:noWrap/>
            <w:hideMark/>
          </w:tcPr>
          <w:p w14:paraId="2CCB4A09" w14:textId="642C0EFE" w:rsidR="001E272F" w:rsidRPr="00CE68EA" w:rsidRDefault="00DD4A5F" w:rsidP="001E27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224 634</w:t>
            </w:r>
          </w:p>
        </w:tc>
        <w:tc>
          <w:tcPr>
            <w:tcW w:w="1140" w:type="dxa"/>
            <w:noWrap/>
            <w:hideMark/>
          </w:tcPr>
          <w:p w14:paraId="0DE40B85" w14:textId="7549E1EA" w:rsidR="001E272F" w:rsidRPr="00CE68EA" w:rsidRDefault="00DD4A5F" w:rsidP="001E27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248 735</w:t>
            </w:r>
          </w:p>
        </w:tc>
        <w:tc>
          <w:tcPr>
            <w:tcW w:w="1140" w:type="dxa"/>
            <w:noWrap/>
            <w:hideMark/>
          </w:tcPr>
          <w:p w14:paraId="009AB567" w14:textId="009C74F3" w:rsidR="001E272F" w:rsidRPr="00CE68EA" w:rsidRDefault="00D4014C" w:rsidP="001E27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258 985</w:t>
            </w:r>
          </w:p>
        </w:tc>
        <w:tc>
          <w:tcPr>
            <w:tcW w:w="940" w:type="dxa"/>
            <w:noWrap/>
            <w:hideMark/>
          </w:tcPr>
          <w:p w14:paraId="4A2DD9DA" w14:textId="5A2CA5AE" w:rsidR="001E272F" w:rsidRPr="00CE68EA" w:rsidRDefault="00D4014C" w:rsidP="001E27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34 351</w:t>
            </w:r>
          </w:p>
        </w:tc>
        <w:tc>
          <w:tcPr>
            <w:tcW w:w="988" w:type="dxa"/>
            <w:noWrap/>
            <w:hideMark/>
          </w:tcPr>
          <w:p w14:paraId="5C0B6B31" w14:textId="44166E2C" w:rsidR="00D4014C" w:rsidRPr="00CE68EA" w:rsidRDefault="00D4014C" w:rsidP="00D4014C">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15,29%</w:t>
            </w:r>
          </w:p>
        </w:tc>
        <w:tc>
          <w:tcPr>
            <w:tcW w:w="993" w:type="dxa"/>
            <w:noWrap/>
            <w:hideMark/>
          </w:tcPr>
          <w:p w14:paraId="3D1C2ACA" w14:textId="12643345" w:rsidR="001E272F" w:rsidRPr="00CE68EA" w:rsidRDefault="00D4014C" w:rsidP="001E27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10 250</w:t>
            </w:r>
          </w:p>
        </w:tc>
        <w:tc>
          <w:tcPr>
            <w:tcW w:w="963" w:type="dxa"/>
            <w:noWrap/>
            <w:hideMark/>
          </w:tcPr>
          <w:p w14:paraId="7CA2681D" w14:textId="1E615FF0" w:rsidR="001E272F" w:rsidRPr="00CE68EA" w:rsidRDefault="00D4014C" w:rsidP="00D4014C">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4,12</w:t>
            </w:r>
            <w:r w:rsidR="001E272F" w:rsidRPr="00CE68EA">
              <w:rPr>
                <w:rFonts w:eastAsia="Times New Roman" w:cstheme="minorHAnsi"/>
                <w:sz w:val="22"/>
                <w:szCs w:val="22"/>
                <w:lang w:eastAsia="lv-LV"/>
              </w:rPr>
              <w:t>%</w:t>
            </w:r>
          </w:p>
        </w:tc>
      </w:tr>
      <w:tr w:rsidR="001E272F" w:rsidRPr="00CE68EA" w14:paraId="2A566762" w14:textId="77777777" w:rsidTr="007F4A1A">
        <w:trPr>
          <w:trHeight w:val="615"/>
        </w:trPr>
        <w:tc>
          <w:tcPr>
            <w:cnfStyle w:val="001000000000" w:firstRow="0" w:lastRow="0" w:firstColumn="1" w:lastColumn="0" w:oddVBand="0" w:evenVBand="0" w:oddHBand="0" w:evenHBand="0" w:firstRowFirstColumn="0" w:firstRowLastColumn="0" w:lastRowFirstColumn="0" w:lastRowLastColumn="0"/>
            <w:tcW w:w="2258" w:type="dxa"/>
            <w:hideMark/>
          </w:tcPr>
          <w:p w14:paraId="5AEF05B8" w14:textId="6E35C7F9" w:rsidR="001E272F" w:rsidRPr="00CE68EA" w:rsidRDefault="001E272F" w:rsidP="001E272F">
            <w:pPr>
              <w:spacing w:before="0"/>
              <w:jc w:val="left"/>
              <w:rPr>
                <w:rFonts w:eastAsia="Times New Roman" w:cstheme="minorHAnsi"/>
                <w:sz w:val="22"/>
                <w:szCs w:val="22"/>
                <w:lang w:eastAsia="lv-LV"/>
              </w:rPr>
            </w:pPr>
            <w:r w:rsidRPr="00CE68EA">
              <w:rPr>
                <w:rFonts w:eastAsia="Times New Roman" w:cstheme="minorHAnsi"/>
                <w:sz w:val="22"/>
                <w:szCs w:val="22"/>
                <w:lang w:eastAsia="lv-LV"/>
              </w:rPr>
              <w:t>Izdevumi par pakalpojumiem</w:t>
            </w:r>
          </w:p>
        </w:tc>
        <w:tc>
          <w:tcPr>
            <w:tcW w:w="1140" w:type="dxa"/>
            <w:noWrap/>
            <w:hideMark/>
          </w:tcPr>
          <w:p w14:paraId="1EBB3C30" w14:textId="6BB1B426" w:rsidR="001E272F" w:rsidRPr="00CE68EA" w:rsidRDefault="00DD4A5F" w:rsidP="001E27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132 591</w:t>
            </w:r>
          </w:p>
        </w:tc>
        <w:tc>
          <w:tcPr>
            <w:tcW w:w="1140" w:type="dxa"/>
            <w:noWrap/>
            <w:hideMark/>
          </w:tcPr>
          <w:p w14:paraId="1000B6D6" w14:textId="33D2F880" w:rsidR="001E272F" w:rsidRPr="00CE68EA" w:rsidRDefault="00D4014C" w:rsidP="00D4014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148 849</w:t>
            </w:r>
          </w:p>
        </w:tc>
        <w:tc>
          <w:tcPr>
            <w:tcW w:w="1140" w:type="dxa"/>
            <w:noWrap/>
            <w:hideMark/>
          </w:tcPr>
          <w:p w14:paraId="0672E877" w14:textId="052737E5" w:rsidR="001E272F" w:rsidRPr="00CE68EA" w:rsidRDefault="00D4014C" w:rsidP="001E27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135 867</w:t>
            </w:r>
          </w:p>
        </w:tc>
        <w:tc>
          <w:tcPr>
            <w:tcW w:w="940" w:type="dxa"/>
            <w:noWrap/>
            <w:hideMark/>
          </w:tcPr>
          <w:p w14:paraId="014CE3F8" w14:textId="0F87FEAF" w:rsidR="001E272F" w:rsidRPr="00CE68EA" w:rsidRDefault="00D4014C" w:rsidP="001E27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3 276</w:t>
            </w:r>
          </w:p>
        </w:tc>
        <w:tc>
          <w:tcPr>
            <w:tcW w:w="988" w:type="dxa"/>
            <w:noWrap/>
            <w:hideMark/>
          </w:tcPr>
          <w:p w14:paraId="7DD24030" w14:textId="137F31EC" w:rsidR="001E272F" w:rsidRPr="00CE68EA" w:rsidRDefault="00D4014C" w:rsidP="001E272F">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2,47</w:t>
            </w:r>
            <w:r w:rsidR="001E272F" w:rsidRPr="00CE68EA">
              <w:rPr>
                <w:rFonts w:eastAsia="Times New Roman" w:cstheme="minorHAnsi"/>
                <w:sz w:val="22"/>
                <w:szCs w:val="22"/>
                <w:lang w:eastAsia="lv-LV"/>
              </w:rPr>
              <w:t>%</w:t>
            </w:r>
          </w:p>
        </w:tc>
        <w:tc>
          <w:tcPr>
            <w:tcW w:w="993" w:type="dxa"/>
            <w:noWrap/>
            <w:hideMark/>
          </w:tcPr>
          <w:p w14:paraId="05F559E5" w14:textId="06C0451C" w:rsidR="001E272F" w:rsidRPr="00CE68EA" w:rsidRDefault="00D4014C" w:rsidP="001E27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-12 982</w:t>
            </w:r>
          </w:p>
        </w:tc>
        <w:tc>
          <w:tcPr>
            <w:tcW w:w="963" w:type="dxa"/>
            <w:noWrap/>
            <w:hideMark/>
          </w:tcPr>
          <w:p w14:paraId="308646C9" w14:textId="747CE992" w:rsidR="001E272F" w:rsidRPr="00CE68EA" w:rsidRDefault="00D4014C" w:rsidP="001E272F">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-8,72</w:t>
            </w:r>
            <w:r w:rsidR="001E272F" w:rsidRPr="00CE68EA">
              <w:rPr>
                <w:rFonts w:eastAsia="Times New Roman" w:cstheme="minorHAnsi"/>
                <w:sz w:val="22"/>
                <w:szCs w:val="22"/>
                <w:lang w:eastAsia="lv-LV"/>
              </w:rPr>
              <w:t>%</w:t>
            </w:r>
          </w:p>
        </w:tc>
      </w:tr>
      <w:tr w:rsidR="001E272F" w:rsidRPr="00CE68EA" w14:paraId="773E0854" w14:textId="77777777" w:rsidTr="007F4A1A">
        <w:trPr>
          <w:trHeight w:val="315"/>
        </w:trPr>
        <w:tc>
          <w:tcPr>
            <w:cnfStyle w:val="001000000000" w:firstRow="0" w:lastRow="0" w:firstColumn="1" w:lastColumn="0" w:oddVBand="0" w:evenVBand="0" w:oddHBand="0" w:evenHBand="0" w:firstRowFirstColumn="0" w:firstRowLastColumn="0" w:lastRowFirstColumn="0" w:lastRowLastColumn="0"/>
            <w:tcW w:w="2258" w:type="dxa"/>
            <w:hideMark/>
          </w:tcPr>
          <w:p w14:paraId="4FC8F6B0" w14:textId="77777777" w:rsidR="001E272F" w:rsidRPr="00CE68EA" w:rsidRDefault="001E272F" w:rsidP="001E272F">
            <w:pPr>
              <w:spacing w:before="0"/>
              <w:jc w:val="left"/>
              <w:rPr>
                <w:rFonts w:eastAsia="Times New Roman" w:cstheme="minorHAnsi"/>
                <w:sz w:val="22"/>
                <w:szCs w:val="22"/>
                <w:lang w:eastAsia="lv-LV"/>
              </w:rPr>
            </w:pPr>
            <w:r w:rsidRPr="00CE68EA">
              <w:rPr>
                <w:rFonts w:eastAsia="Times New Roman" w:cstheme="minorHAnsi"/>
                <w:sz w:val="22"/>
                <w:szCs w:val="22"/>
                <w:lang w:eastAsia="lv-LV"/>
              </w:rPr>
              <w:t>Izdevumi par precēm</w:t>
            </w:r>
          </w:p>
        </w:tc>
        <w:tc>
          <w:tcPr>
            <w:tcW w:w="1140" w:type="dxa"/>
            <w:noWrap/>
            <w:hideMark/>
          </w:tcPr>
          <w:p w14:paraId="6BACA0D7" w14:textId="1F49E6E6" w:rsidR="001E272F" w:rsidRPr="00CE68EA" w:rsidRDefault="00DD4A5F" w:rsidP="001E27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92 581</w:t>
            </w:r>
          </w:p>
        </w:tc>
        <w:tc>
          <w:tcPr>
            <w:tcW w:w="1140" w:type="dxa"/>
            <w:noWrap/>
            <w:hideMark/>
          </w:tcPr>
          <w:p w14:paraId="58A34F51" w14:textId="3C737440" w:rsidR="001E272F" w:rsidRPr="00CE68EA" w:rsidRDefault="00D4014C" w:rsidP="001E27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138 194</w:t>
            </w:r>
          </w:p>
        </w:tc>
        <w:tc>
          <w:tcPr>
            <w:tcW w:w="1140" w:type="dxa"/>
            <w:noWrap/>
            <w:hideMark/>
          </w:tcPr>
          <w:p w14:paraId="1384A5FE" w14:textId="637CE4A9" w:rsidR="001E272F" w:rsidRPr="00CE68EA" w:rsidRDefault="00D4014C" w:rsidP="001E27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126 508</w:t>
            </w:r>
          </w:p>
          <w:p w14:paraId="0C26AFF8" w14:textId="77D0777B" w:rsidR="00D4014C" w:rsidRPr="00CE68EA" w:rsidRDefault="00D4014C" w:rsidP="001E27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p>
        </w:tc>
        <w:tc>
          <w:tcPr>
            <w:tcW w:w="940" w:type="dxa"/>
            <w:noWrap/>
            <w:hideMark/>
          </w:tcPr>
          <w:p w14:paraId="433972E4" w14:textId="49153064" w:rsidR="001E272F" w:rsidRPr="00CE68EA" w:rsidRDefault="00D4014C" w:rsidP="001E27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3 927</w:t>
            </w:r>
          </w:p>
        </w:tc>
        <w:tc>
          <w:tcPr>
            <w:tcW w:w="988" w:type="dxa"/>
            <w:noWrap/>
            <w:hideMark/>
          </w:tcPr>
          <w:p w14:paraId="0DF97EB5" w14:textId="08ED23A0" w:rsidR="001E272F" w:rsidRPr="00CE68EA" w:rsidRDefault="00D4014C" w:rsidP="001E272F">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36,65</w:t>
            </w:r>
            <w:r w:rsidR="001E272F" w:rsidRPr="00CE68EA">
              <w:rPr>
                <w:rFonts w:eastAsia="Times New Roman" w:cstheme="minorHAnsi"/>
                <w:sz w:val="22"/>
                <w:szCs w:val="22"/>
                <w:lang w:eastAsia="lv-LV"/>
              </w:rPr>
              <w:t>%</w:t>
            </w:r>
          </w:p>
        </w:tc>
        <w:tc>
          <w:tcPr>
            <w:tcW w:w="993" w:type="dxa"/>
            <w:noWrap/>
            <w:hideMark/>
          </w:tcPr>
          <w:p w14:paraId="377E8C1E" w14:textId="71E71AF0" w:rsidR="001E272F" w:rsidRPr="00CE68EA" w:rsidRDefault="00D4014C" w:rsidP="001E27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-11 686</w:t>
            </w:r>
          </w:p>
        </w:tc>
        <w:tc>
          <w:tcPr>
            <w:tcW w:w="963" w:type="dxa"/>
            <w:noWrap/>
            <w:hideMark/>
          </w:tcPr>
          <w:p w14:paraId="0CD234BE" w14:textId="2374EDB1" w:rsidR="001E272F" w:rsidRPr="00CE68EA" w:rsidRDefault="00D4014C" w:rsidP="001E272F">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-8,46</w:t>
            </w:r>
            <w:r w:rsidR="001E272F" w:rsidRPr="00CE68EA">
              <w:rPr>
                <w:rFonts w:eastAsia="Times New Roman" w:cstheme="minorHAnsi"/>
                <w:sz w:val="22"/>
                <w:szCs w:val="22"/>
                <w:lang w:eastAsia="lv-LV"/>
              </w:rPr>
              <w:t>%</w:t>
            </w:r>
          </w:p>
        </w:tc>
      </w:tr>
      <w:tr w:rsidR="001E272F" w:rsidRPr="00CE68EA" w14:paraId="5D320047" w14:textId="77777777" w:rsidTr="007F4A1A">
        <w:trPr>
          <w:trHeight w:val="615"/>
        </w:trPr>
        <w:tc>
          <w:tcPr>
            <w:cnfStyle w:val="001000000000" w:firstRow="0" w:lastRow="0" w:firstColumn="1" w:lastColumn="0" w:oddVBand="0" w:evenVBand="0" w:oddHBand="0" w:evenHBand="0" w:firstRowFirstColumn="0" w:firstRowLastColumn="0" w:lastRowFirstColumn="0" w:lastRowLastColumn="0"/>
            <w:tcW w:w="2258" w:type="dxa"/>
            <w:hideMark/>
          </w:tcPr>
          <w:p w14:paraId="21D27E45" w14:textId="77777777" w:rsidR="001E272F" w:rsidRPr="00CE68EA" w:rsidRDefault="001E272F" w:rsidP="001E272F">
            <w:pPr>
              <w:spacing w:before="0"/>
              <w:jc w:val="left"/>
              <w:rPr>
                <w:rFonts w:eastAsia="Times New Roman" w:cstheme="minorHAnsi"/>
                <w:sz w:val="22"/>
                <w:szCs w:val="22"/>
                <w:lang w:eastAsia="lv-LV"/>
              </w:rPr>
            </w:pPr>
            <w:r w:rsidRPr="00CE68EA">
              <w:rPr>
                <w:rFonts w:eastAsia="Times New Roman" w:cstheme="minorHAnsi"/>
                <w:sz w:val="22"/>
                <w:szCs w:val="22"/>
                <w:lang w:eastAsia="lv-LV"/>
              </w:rPr>
              <w:t>Pārējie saimnieciskās darbības izdevumi</w:t>
            </w:r>
          </w:p>
        </w:tc>
        <w:tc>
          <w:tcPr>
            <w:tcW w:w="1140" w:type="dxa"/>
            <w:noWrap/>
            <w:hideMark/>
          </w:tcPr>
          <w:p w14:paraId="2342EB5E" w14:textId="62C96160" w:rsidR="001E272F" w:rsidRPr="00CE68EA" w:rsidRDefault="00DD4A5F" w:rsidP="001E27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76 601</w:t>
            </w:r>
          </w:p>
        </w:tc>
        <w:tc>
          <w:tcPr>
            <w:tcW w:w="1140" w:type="dxa"/>
            <w:noWrap/>
            <w:hideMark/>
          </w:tcPr>
          <w:p w14:paraId="594C47DE" w14:textId="085D944B" w:rsidR="001E272F" w:rsidRPr="00CE68EA" w:rsidRDefault="00D4014C" w:rsidP="001E27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78 045</w:t>
            </w:r>
          </w:p>
        </w:tc>
        <w:tc>
          <w:tcPr>
            <w:tcW w:w="1140" w:type="dxa"/>
            <w:noWrap/>
            <w:hideMark/>
          </w:tcPr>
          <w:p w14:paraId="5E6DFDDE" w14:textId="0D8E28DE" w:rsidR="001E272F" w:rsidRPr="00CE68EA" w:rsidRDefault="00D4014C" w:rsidP="001E27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75 052</w:t>
            </w:r>
          </w:p>
        </w:tc>
        <w:tc>
          <w:tcPr>
            <w:tcW w:w="940" w:type="dxa"/>
            <w:noWrap/>
            <w:hideMark/>
          </w:tcPr>
          <w:p w14:paraId="3CB10EE8" w14:textId="115F4457" w:rsidR="001E272F" w:rsidRPr="00CE68EA" w:rsidRDefault="00D4014C" w:rsidP="001E272F">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-1 549</w:t>
            </w:r>
          </w:p>
        </w:tc>
        <w:tc>
          <w:tcPr>
            <w:tcW w:w="988" w:type="dxa"/>
            <w:noWrap/>
            <w:hideMark/>
          </w:tcPr>
          <w:p w14:paraId="6F95AB47" w14:textId="4BC9918C" w:rsidR="001E272F" w:rsidRPr="00CE68EA" w:rsidRDefault="001E272F" w:rsidP="00D4014C">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w:t>
            </w:r>
            <w:r w:rsidR="00D4014C" w:rsidRPr="00CE68EA">
              <w:rPr>
                <w:rFonts w:eastAsia="Times New Roman" w:cstheme="minorHAnsi"/>
                <w:sz w:val="22"/>
                <w:szCs w:val="22"/>
                <w:lang w:eastAsia="lv-LV"/>
              </w:rPr>
              <w:t>2,02</w:t>
            </w:r>
            <w:r w:rsidRPr="00CE68EA">
              <w:rPr>
                <w:rFonts w:eastAsia="Times New Roman" w:cstheme="minorHAnsi"/>
                <w:sz w:val="22"/>
                <w:szCs w:val="22"/>
                <w:lang w:eastAsia="lv-LV"/>
              </w:rPr>
              <w:t>%</w:t>
            </w:r>
          </w:p>
        </w:tc>
        <w:tc>
          <w:tcPr>
            <w:tcW w:w="993" w:type="dxa"/>
            <w:noWrap/>
            <w:hideMark/>
          </w:tcPr>
          <w:p w14:paraId="5BD8AA31" w14:textId="6B5A707C" w:rsidR="001E272F" w:rsidRPr="00CE68EA" w:rsidRDefault="001E272F" w:rsidP="00D4014C">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w:t>
            </w:r>
            <w:r w:rsidR="00D4014C" w:rsidRPr="00CE68EA">
              <w:rPr>
                <w:rFonts w:eastAsia="Times New Roman" w:cstheme="minorHAnsi"/>
                <w:sz w:val="22"/>
                <w:szCs w:val="22"/>
                <w:lang w:eastAsia="lv-LV"/>
              </w:rPr>
              <w:t>2 933</w:t>
            </w:r>
          </w:p>
        </w:tc>
        <w:tc>
          <w:tcPr>
            <w:tcW w:w="963" w:type="dxa"/>
            <w:noWrap/>
            <w:hideMark/>
          </w:tcPr>
          <w:p w14:paraId="22060D1E" w14:textId="6D74DA85" w:rsidR="001E272F" w:rsidRPr="00CE68EA" w:rsidRDefault="001E272F" w:rsidP="00D4014C">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w:t>
            </w:r>
            <w:r w:rsidR="00D4014C" w:rsidRPr="00CE68EA">
              <w:rPr>
                <w:rFonts w:eastAsia="Times New Roman" w:cstheme="minorHAnsi"/>
                <w:sz w:val="22"/>
                <w:szCs w:val="22"/>
                <w:lang w:eastAsia="lv-LV"/>
              </w:rPr>
              <w:t>3,83</w:t>
            </w:r>
            <w:r w:rsidRPr="00CE68EA">
              <w:rPr>
                <w:rFonts w:eastAsia="Times New Roman" w:cstheme="minorHAnsi"/>
                <w:sz w:val="22"/>
                <w:szCs w:val="22"/>
                <w:lang w:eastAsia="lv-LV"/>
              </w:rPr>
              <w:t>%</w:t>
            </w:r>
          </w:p>
        </w:tc>
      </w:tr>
    </w:tbl>
    <w:p w14:paraId="0ACBD981" w14:textId="55FD1599" w:rsidR="00A734D4" w:rsidRPr="00CE68EA" w:rsidRDefault="00A734D4" w:rsidP="00131E43">
      <w:pPr>
        <w:rPr>
          <w:rFonts w:cstheme="minorHAnsi"/>
        </w:rPr>
      </w:pPr>
    </w:p>
    <w:p w14:paraId="38CE18FF" w14:textId="0503CAF5" w:rsidR="00D4014C" w:rsidRPr="00CE68EA" w:rsidRDefault="00D4014C" w:rsidP="00131E43">
      <w:pPr>
        <w:rPr>
          <w:rFonts w:cstheme="minorHAnsi"/>
        </w:rPr>
      </w:pPr>
      <w:r w:rsidRPr="00CE68EA">
        <w:rPr>
          <w:rFonts w:cstheme="minorHAnsi"/>
          <w:noProof/>
          <w:lang w:eastAsia="lv-LV"/>
        </w:rPr>
        <w:lastRenderedPageBreak/>
        <w:drawing>
          <wp:inline distT="0" distB="0" distL="0" distR="0" wp14:anchorId="7D8DDB9D" wp14:editId="55648EE8">
            <wp:extent cx="5476874" cy="2371725"/>
            <wp:effectExtent l="0" t="0" r="10160" b="9525"/>
            <wp:docPr id="3" name="Chart 3">
              <a:extLst xmlns:a="http://schemas.openxmlformats.org/drawingml/2006/main">
                <a:ext uri="{FF2B5EF4-FFF2-40B4-BE49-F238E27FC236}">
                  <a16:creationId xmlns:a16="http://schemas.microsoft.com/office/drawing/2014/main" id="{B2082735-BB22-4317-B76C-66192EE100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20C43B7" w14:textId="5482E1C6" w:rsidR="0080166A" w:rsidRPr="00CE68EA" w:rsidRDefault="00CB3193" w:rsidP="0080166A">
      <w:pPr>
        <w:rPr>
          <w:rFonts w:cstheme="minorHAnsi"/>
          <w:color w:val="000000" w:themeColor="text1"/>
        </w:rPr>
      </w:pPr>
      <w:r w:rsidRPr="00CE68EA">
        <w:rPr>
          <w:rFonts w:cstheme="minorHAnsi"/>
        </w:rPr>
        <w:t>Izdevum</w:t>
      </w:r>
      <w:r w:rsidR="00333B18" w:rsidRPr="00CE68EA">
        <w:rPr>
          <w:rFonts w:cstheme="minorHAnsi"/>
        </w:rPr>
        <w:t xml:space="preserve">i atlīdzībai veido </w:t>
      </w:r>
      <w:r w:rsidR="00D4014C" w:rsidRPr="00CE68EA">
        <w:rPr>
          <w:rFonts w:cstheme="minorHAnsi"/>
        </w:rPr>
        <w:t>78</w:t>
      </w:r>
      <w:r w:rsidR="00333B18" w:rsidRPr="00CE68EA">
        <w:rPr>
          <w:rFonts w:cstheme="minorHAnsi"/>
        </w:rPr>
        <w:t>% no kopējiem slimnīcas izdevumiem 202</w:t>
      </w:r>
      <w:r w:rsidR="00C4798F" w:rsidRPr="00CE68EA">
        <w:rPr>
          <w:rFonts w:cstheme="minorHAnsi"/>
        </w:rPr>
        <w:t>5</w:t>
      </w:r>
      <w:r w:rsidR="00333B18" w:rsidRPr="00CE68EA">
        <w:rPr>
          <w:rFonts w:cstheme="minorHAnsi"/>
        </w:rPr>
        <w:t>.gadā</w:t>
      </w:r>
      <w:r w:rsidR="00D4014C" w:rsidRPr="00CE68EA">
        <w:rPr>
          <w:rFonts w:cstheme="minorHAnsi"/>
        </w:rPr>
        <w:t xml:space="preserve"> 1.cet.</w:t>
      </w:r>
      <w:r w:rsidR="00333B18" w:rsidRPr="00CE68EA">
        <w:rPr>
          <w:rFonts w:cstheme="minorHAnsi"/>
        </w:rPr>
        <w:t xml:space="preserve"> un, salīdzinot ar 202</w:t>
      </w:r>
      <w:r w:rsidR="006D6DDC" w:rsidRPr="00CE68EA">
        <w:rPr>
          <w:rFonts w:cstheme="minorHAnsi"/>
        </w:rPr>
        <w:t>4</w:t>
      </w:r>
      <w:r w:rsidR="00D4014C" w:rsidRPr="00CE68EA">
        <w:rPr>
          <w:rFonts w:cstheme="minorHAnsi"/>
        </w:rPr>
        <w:t>.gada 1.cet.</w:t>
      </w:r>
      <w:r w:rsidR="00333B18" w:rsidRPr="00CE68EA">
        <w:rPr>
          <w:rFonts w:cstheme="minorHAnsi"/>
        </w:rPr>
        <w:t>, tie palielinājušies par 1</w:t>
      </w:r>
      <w:r w:rsidR="0080166A" w:rsidRPr="00CE68EA">
        <w:rPr>
          <w:rFonts w:cstheme="minorHAnsi"/>
        </w:rPr>
        <w:t>2,86</w:t>
      </w:r>
      <w:r w:rsidR="00333B18" w:rsidRPr="00CE68EA">
        <w:rPr>
          <w:rFonts w:cstheme="minorHAnsi"/>
        </w:rPr>
        <w:t>%</w:t>
      </w:r>
      <w:r w:rsidR="003D4191">
        <w:rPr>
          <w:rFonts w:cstheme="minorHAnsi"/>
        </w:rPr>
        <w:t>, kas saistīts ar narkoloģijas pakalpojuma ieviešanu</w:t>
      </w:r>
      <w:r w:rsidR="00333B18" w:rsidRPr="00CE68EA">
        <w:rPr>
          <w:rFonts w:cstheme="minorHAnsi"/>
        </w:rPr>
        <w:t>.</w:t>
      </w:r>
      <w:r w:rsidR="000A0288" w:rsidRPr="00CE68EA">
        <w:rPr>
          <w:rFonts w:cstheme="minorHAnsi"/>
        </w:rPr>
        <w:t xml:space="preserve"> Izdevumi par pakalpojumiem palielinājušies par </w:t>
      </w:r>
      <w:r w:rsidR="0080166A" w:rsidRPr="00CE68EA">
        <w:rPr>
          <w:rFonts w:cstheme="minorHAnsi"/>
        </w:rPr>
        <w:t>2,47</w:t>
      </w:r>
      <w:r w:rsidR="000A0288" w:rsidRPr="00CE68EA">
        <w:rPr>
          <w:rFonts w:cstheme="minorHAnsi"/>
        </w:rPr>
        <w:t>% pret 202</w:t>
      </w:r>
      <w:r w:rsidR="0080166A" w:rsidRPr="00CE68EA">
        <w:rPr>
          <w:rFonts w:cstheme="minorHAnsi"/>
        </w:rPr>
        <w:t>4</w:t>
      </w:r>
      <w:r w:rsidR="000A0288" w:rsidRPr="00CE68EA">
        <w:rPr>
          <w:rFonts w:cstheme="minorHAnsi"/>
        </w:rPr>
        <w:t>.gadu</w:t>
      </w:r>
      <w:r w:rsidR="0080166A" w:rsidRPr="00CE68EA">
        <w:rPr>
          <w:rFonts w:cstheme="minorHAnsi"/>
        </w:rPr>
        <w:t xml:space="preserve"> 1.cet.</w:t>
      </w:r>
      <w:r w:rsidR="000A0288" w:rsidRPr="00CE68EA">
        <w:rPr>
          <w:rFonts w:cstheme="minorHAnsi"/>
        </w:rPr>
        <w:t xml:space="preserve">, kas saistīts ar projektu un citu attīstības pasākumu realizāciju. </w:t>
      </w:r>
      <w:r w:rsidR="00FB7031" w:rsidRPr="00CE68EA">
        <w:rPr>
          <w:rFonts w:cstheme="minorHAnsi"/>
        </w:rPr>
        <w:t xml:space="preserve">Būtisks preču izdevumu </w:t>
      </w:r>
      <w:r w:rsidR="0080166A" w:rsidRPr="00CE68EA">
        <w:rPr>
          <w:rFonts w:cstheme="minorHAnsi"/>
        </w:rPr>
        <w:t>pieaugums</w:t>
      </w:r>
      <w:r w:rsidR="00FB7031" w:rsidRPr="00CE68EA">
        <w:rPr>
          <w:rFonts w:cstheme="minorHAnsi"/>
        </w:rPr>
        <w:t xml:space="preserve"> pret 2024.gada </w:t>
      </w:r>
      <w:r w:rsidR="0080166A" w:rsidRPr="00CE68EA">
        <w:rPr>
          <w:rFonts w:cstheme="minorHAnsi"/>
        </w:rPr>
        <w:t>1.cet.</w:t>
      </w:r>
      <w:r w:rsidR="00FB7031" w:rsidRPr="00CE68EA">
        <w:rPr>
          <w:rFonts w:cstheme="minorHAnsi"/>
        </w:rPr>
        <w:t>saistīts ar to, ka 202</w:t>
      </w:r>
      <w:r w:rsidR="0080166A" w:rsidRPr="00CE68EA">
        <w:rPr>
          <w:rFonts w:cstheme="minorHAnsi"/>
        </w:rPr>
        <w:t>5</w:t>
      </w:r>
      <w:r w:rsidR="00FB7031" w:rsidRPr="00CE68EA">
        <w:rPr>
          <w:rFonts w:cstheme="minorHAnsi"/>
        </w:rPr>
        <w:t xml:space="preserve">.gadā  </w:t>
      </w:r>
      <w:r w:rsidR="0080166A" w:rsidRPr="00CE68EA">
        <w:rPr>
          <w:rFonts w:cstheme="minorHAnsi"/>
          <w:color w:val="000000" w:themeColor="text1"/>
        </w:rPr>
        <w:t xml:space="preserve">slimnīca sāk sniegt stacionāras un ambulatoras pakalpojumus narkoloģijas profilā. </w:t>
      </w:r>
    </w:p>
    <w:p w14:paraId="57064C37" w14:textId="3CC4C3B0" w:rsidR="00CB3193" w:rsidRPr="00CE68EA" w:rsidRDefault="00FB7031" w:rsidP="00FB7031">
      <w:pPr>
        <w:pStyle w:val="Virsraksts2"/>
        <w:rPr>
          <w:rFonts w:cstheme="minorHAnsi"/>
        </w:rPr>
      </w:pPr>
      <w:r w:rsidRPr="00CE68EA">
        <w:rPr>
          <w:rFonts w:cstheme="minorHAnsi"/>
        </w:rPr>
        <w:t>Bilance</w:t>
      </w:r>
    </w:p>
    <w:p w14:paraId="2F736C87" w14:textId="3C13FBC4" w:rsidR="00304765" w:rsidRPr="00CE68EA" w:rsidRDefault="00304765" w:rsidP="00131E43">
      <w:pPr>
        <w:rPr>
          <w:rFonts w:cstheme="minorHAnsi"/>
        </w:rPr>
      </w:pPr>
      <w:r w:rsidRPr="00CE68EA">
        <w:rPr>
          <w:rFonts w:cstheme="minorHAnsi"/>
        </w:rPr>
        <w:t>Slimnīcas bilances dati:</w:t>
      </w:r>
    </w:p>
    <w:tbl>
      <w:tblPr>
        <w:tblStyle w:val="Reatabula1gaia-izclums2"/>
        <w:tblW w:w="9596" w:type="dxa"/>
        <w:tblLook w:val="0420" w:firstRow="1" w:lastRow="0" w:firstColumn="0" w:lastColumn="0" w:noHBand="0" w:noVBand="1"/>
      </w:tblPr>
      <w:tblGrid>
        <w:gridCol w:w="1687"/>
        <w:gridCol w:w="1301"/>
        <w:gridCol w:w="1275"/>
        <w:gridCol w:w="1276"/>
        <w:gridCol w:w="1030"/>
        <w:gridCol w:w="1032"/>
        <w:gridCol w:w="1008"/>
        <w:gridCol w:w="987"/>
      </w:tblGrid>
      <w:tr w:rsidR="00101BE7" w:rsidRPr="00CE68EA" w14:paraId="2FFE3FAC" w14:textId="77777777" w:rsidTr="0080166A">
        <w:trPr>
          <w:cnfStyle w:val="100000000000" w:firstRow="1" w:lastRow="0" w:firstColumn="0" w:lastColumn="0" w:oddVBand="0" w:evenVBand="0" w:oddHBand="0" w:evenHBand="0" w:firstRowFirstColumn="0" w:firstRowLastColumn="0" w:lastRowFirstColumn="0" w:lastRowLastColumn="0"/>
          <w:trHeight w:val="300"/>
          <w:tblHeader/>
        </w:trPr>
        <w:tc>
          <w:tcPr>
            <w:tcW w:w="1691" w:type="dxa"/>
            <w:vMerge w:val="restart"/>
            <w:hideMark/>
          </w:tcPr>
          <w:p w14:paraId="69419C8A" w14:textId="77777777" w:rsidR="00304765" w:rsidRPr="00CE68EA" w:rsidRDefault="00304765" w:rsidP="00DD6EFE">
            <w:pPr>
              <w:spacing w:before="0"/>
              <w:jc w:val="center"/>
              <w:rPr>
                <w:rFonts w:eastAsia="Times New Roman" w:cstheme="minorHAnsi"/>
                <w:b w:val="0"/>
                <w:bCs w:val="0"/>
                <w:sz w:val="22"/>
                <w:szCs w:val="22"/>
                <w:lang w:eastAsia="lv-LV"/>
              </w:rPr>
            </w:pPr>
            <w:r w:rsidRPr="00CE68EA">
              <w:rPr>
                <w:rFonts w:eastAsia="Times New Roman" w:cstheme="minorHAnsi"/>
                <w:sz w:val="22"/>
                <w:szCs w:val="22"/>
                <w:lang w:eastAsia="lv-LV"/>
              </w:rPr>
              <w:t>Nosaukums/ Mērvienība</w:t>
            </w:r>
          </w:p>
        </w:tc>
        <w:tc>
          <w:tcPr>
            <w:tcW w:w="1301" w:type="dxa"/>
            <w:vMerge w:val="restart"/>
            <w:hideMark/>
          </w:tcPr>
          <w:p w14:paraId="151F3CAB" w14:textId="6F656482" w:rsidR="00304765" w:rsidRPr="00CE68EA" w:rsidRDefault="00304765" w:rsidP="0067558D">
            <w:pPr>
              <w:spacing w:before="0"/>
              <w:jc w:val="center"/>
              <w:rPr>
                <w:rFonts w:eastAsia="Times New Roman" w:cstheme="minorHAnsi"/>
                <w:b w:val="0"/>
                <w:bCs w:val="0"/>
                <w:sz w:val="22"/>
                <w:szCs w:val="22"/>
                <w:lang w:eastAsia="lv-LV"/>
              </w:rPr>
            </w:pPr>
            <w:r w:rsidRPr="00CE68EA">
              <w:rPr>
                <w:rFonts w:eastAsia="Times New Roman" w:cstheme="minorHAnsi"/>
                <w:sz w:val="22"/>
                <w:szCs w:val="22"/>
                <w:lang w:eastAsia="lv-LV"/>
              </w:rPr>
              <w:t>Izpilde 202</w:t>
            </w:r>
            <w:r w:rsidR="0067558D" w:rsidRPr="00CE68EA">
              <w:rPr>
                <w:rFonts w:eastAsia="Times New Roman" w:cstheme="minorHAnsi"/>
                <w:sz w:val="22"/>
                <w:szCs w:val="22"/>
                <w:lang w:eastAsia="lv-LV"/>
              </w:rPr>
              <w:t>4</w:t>
            </w:r>
            <w:r w:rsidRPr="00CE68EA">
              <w:rPr>
                <w:rFonts w:eastAsia="Times New Roman" w:cstheme="minorHAnsi"/>
                <w:sz w:val="22"/>
                <w:szCs w:val="22"/>
                <w:lang w:eastAsia="lv-LV"/>
              </w:rPr>
              <w:t>. gada</w:t>
            </w:r>
            <w:r w:rsidR="00955E9D" w:rsidRPr="00CE68EA">
              <w:rPr>
                <w:rFonts w:eastAsia="Times New Roman" w:cstheme="minorHAnsi"/>
                <w:sz w:val="22"/>
                <w:szCs w:val="22"/>
                <w:lang w:eastAsia="lv-LV"/>
              </w:rPr>
              <w:t xml:space="preserve"> 1.cet</w:t>
            </w:r>
          </w:p>
        </w:tc>
        <w:tc>
          <w:tcPr>
            <w:tcW w:w="1275" w:type="dxa"/>
            <w:vMerge w:val="restart"/>
            <w:hideMark/>
          </w:tcPr>
          <w:p w14:paraId="6A671A20" w14:textId="4F2B4D0C" w:rsidR="00304765" w:rsidRPr="00CE68EA" w:rsidRDefault="00304765" w:rsidP="00955E9D">
            <w:pPr>
              <w:spacing w:before="0"/>
              <w:jc w:val="center"/>
              <w:rPr>
                <w:rFonts w:eastAsia="Times New Roman" w:cstheme="minorHAnsi"/>
                <w:b w:val="0"/>
                <w:bCs w:val="0"/>
                <w:sz w:val="22"/>
                <w:szCs w:val="22"/>
                <w:lang w:eastAsia="lv-LV"/>
              </w:rPr>
            </w:pPr>
            <w:r w:rsidRPr="00CE68EA">
              <w:rPr>
                <w:rFonts w:eastAsia="Times New Roman" w:cstheme="minorHAnsi"/>
                <w:sz w:val="22"/>
                <w:szCs w:val="22"/>
                <w:lang w:eastAsia="lv-LV"/>
              </w:rPr>
              <w:t>Plāns 202</w:t>
            </w:r>
            <w:r w:rsidR="00955E9D" w:rsidRPr="00CE68EA">
              <w:rPr>
                <w:rFonts w:eastAsia="Times New Roman" w:cstheme="minorHAnsi"/>
                <w:sz w:val="22"/>
                <w:szCs w:val="22"/>
                <w:lang w:eastAsia="lv-LV"/>
              </w:rPr>
              <w:t>5</w:t>
            </w:r>
            <w:r w:rsidRPr="00CE68EA">
              <w:rPr>
                <w:rFonts w:eastAsia="Times New Roman" w:cstheme="minorHAnsi"/>
                <w:sz w:val="22"/>
                <w:szCs w:val="22"/>
                <w:lang w:eastAsia="lv-LV"/>
              </w:rPr>
              <w:t>. gada</w:t>
            </w:r>
            <w:r w:rsidR="00955E9D" w:rsidRPr="00CE68EA">
              <w:rPr>
                <w:rFonts w:eastAsia="Times New Roman" w:cstheme="minorHAnsi"/>
                <w:sz w:val="22"/>
                <w:szCs w:val="22"/>
                <w:lang w:eastAsia="lv-LV"/>
              </w:rPr>
              <w:t xml:space="preserve"> 1.cet.</w:t>
            </w:r>
          </w:p>
        </w:tc>
        <w:tc>
          <w:tcPr>
            <w:tcW w:w="1276" w:type="dxa"/>
            <w:vMerge w:val="restart"/>
            <w:hideMark/>
          </w:tcPr>
          <w:p w14:paraId="10622BB3" w14:textId="0F8B0205" w:rsidR="00304765" w:rsidRPr="00CE68EA" w:rsidRDefault="00304765" w:rsidP="00955E9D">
            <w:pPr>
              <w:spacing w:before="0"/>
              <w:jc w:val="center"/>
              <w:rPr>
                <w:rFonts w:eastAsia="Times New Roman" w:cstheme="minorHAnsi"/>
                <w:b w:val="0"/>
                <w:bCs w:val="0"/>
                <w:sz w:val="22"/>
                <w:szCs w:val="22"/>
                <w:lang w:eastAsia="lv-LV"/>
              </w:rPr>
            </w:pPr>
            <w:r w:rsidRPr="00CE68EA">
              <w:rPr>
                <w:rFonts w:eastAsia="Times New Roman" w:cstheme="minorHAnsi"/>
                <w:sz w:val="22"/>
                <w:szCs w:val="22"/>
                <w:lang w:eastAsia="lv-LV"/>
              </w:rPr>
              <w:t>Izpilde 202</w:t>
            </w:r>
            <w:r w:rsidR="00955E9D" w:rsidRPr="00CE68EA">
              <w:rPr>
                <w:rFonts w:eastAsia="Times New Roman" w:cstheme="minorHAnsi"/>
                <w:sz w:val="22"/>
                <w:szCs w:val="22"/>
                <w:lang w:eastAsia="lv-LV"/>
              </w:rPr>
              <w:t>5</w:t>
            </w:r>
            <w:r w:rsidRPr="00CE68EA">
              <w:rPr>
                <w:rFonts w:eastAsia="Times New Roman" w:cstheme="minorHAnsi"/>
                <w:sz w:val="22"/>
                <w:szCs w:val="22"/>
                <w:lang w:eastAsia="lv-LV"/>
              </w:rPr>
              <w:t>. gada</w:t>
            </w:r>
            <w:r w:rsidR="00955E9D" w:rsidRPr="00CE68EA">
              <w:rPr>
                <w:rFonts w:eastAsia="Times New Roman" w:cstheme="minorHAnsi"/>
                <w:sz w:val="22"/>
                <w:szCs w:val="22"/>
                <w:lang w:eastAsia="lv-LV"/>
              </w:rPr>
              <w:t xml:space="preserve"> 1.cet.</w:t>
            </w:r>
          </w:p>
        </w:tc>
        <w:tc>
          <w:tcPr>
            <w:tcW w:w="2062" w:type="dxa"/>
            <w:gridSpan w:val="2"/>
            <w:hideMark/>
          </w:tcPr>
          <w:p w14:paraId="21331EFD" w14:textId="5F90A22E" w:rsidR="00304765" w:rsidRPr="00CE68EA" w:rsidRDefault="00304765" w:rsidP="00955E9D">
            <w:pPr>
              <w:spacing w:before="0"/>
              <w:jc w:val="center"/>
              <w:rPr>
                <w:rFonts w:eastAsia="Times New Roman" w:cstheme="minorHAnsi"/>
                <w:b w:val="0"/>
                <w:bCs w:val="0"/>
                <w:sz w:val="22"/>
                <w:szCs w:val="22"/>
                <w:lang w:eastAsia="lv-LV"/>
              </w:rPr>
            </w:pPr>
            <w:r w:rsidRPr="00CE68EA">
              <w:rPr>
                <w:rFonts w:eastAsia="Times New Roman" w:cstheme="minorHAnsi"/>
                <w:sz w:val="22"/>
                <w:szCs w:val="22"/>
                <w:lang w:eastAsia="lv-LV"/>
              </w:rPr>
              <w:t>Novirze pret 202</w:t>
            </w:r>
            <w:r w:rsidR="00955E9D" w:rsidRPr="00CE68EA">
              <w:rPr>
                <w:rFonts w:eastAsia="Times New Roman" w:cstheme="minorHAnsi"/>
                <w:sz w:val="22"/>
                <w:szCs w:val="22"/>
                <w:lang w:eastAsia="lv-LV"/>
              </w:rPr>
              <w:t>4</w:t>
            </w:r>
            <w:r w:rsidRPr="00CE68EA">
              <w:rPr>
                <w:rFonts w:eastAsia="Times New Roman" w:cstheme="minorHAnsi"/>
                <w:sz w:val="22"/>
                <w:szCs w:val="22"/>
                <w:lang w:eastAsia="lv-LV"/>
              </w:rPr>
              <w:t>.gadu</w:t>
            </w:r>
            <w:r w:rsidR="00955E9D" w:rsidRPr="00CE68EA">
              <w:rPr>
                <w:rFonts w:eastAsia="Times New Roman" w:cstheme="minorHAnsi"/>
                <w:sz w:val="22"/>
                <w:szCs w:val="22"/>
                <w:lang w:eastAsia="lv-LV"/>
              </w:rPr>
              <w:t xml:space="preserve"> 1.cet</w:t>
            </w:r>
          </w:p>
        </w:tc>
        <w:tc>
          <w:tcPr>
            <w:tcW w:w="1991" w:type="dxa"/>
            <w:gridSpan w:val="2"/>
            <w:hideMark/>
          </w:tcPr>
          <w:p w14:paraId="413882C9" w14:textId="396A79B1" w:rsidR="00304765" w:rsidRPr="00CE68EA" w:rsidRDefault="00304765" w:rsidP="00955E9D">
            <w:pPr>
              <w:spacing w:before="0"/>
              <w:jc w:val="center"/>
              <w:rPr>
                <w:rFonts w:eastAsia="Times New Roman" w:cstheme="minorHAnsi"/>
                <w:b w:val="0"/>
                <w:bCs w:val="0"/>
                <w:sz w:val="22"/>
                <w:szCs w:val="22"/>
                <w:lang w:eastAsia="lv-LV"/>
              </w:rPr>
            </w:pPr>
            <w:r w:rsidRPr="00CE68EA">
              <w:rPr>
                <w:rFonts w:eastAsia="Times New Roman" w:cstheme="minorHAnsi"/>
                <w:sz w:val="22"/>
                <w:szCs w:val="22"/>
                <w:lang w:eastAsia="lv-LV"/>
              </w:rPr>
              <w:t>Novirze pret 202</w:t>
            </w:r>
            <w:r w:rsidR="00955E9D" w:rsidRPr="00CE68EA">
              <w:rPr>
                <w:rFonts w:eastAsia="Times New Roman" w:cstheme="minorHAnsi"/>
                <w:sz w:val="22"/>
                <w:szCs w:val="22"/>
                <w:lang w:eastAsia="lv-LV"/>
              </w:rPr>
              <w:t>5</w:t>
            </w:r>
            <w:r w:rsidRPr="00CE68EA">
              <w:rPr>
                <w:rFonts w:eastAsia="Times New Roman" w:cstheme="minorHAnsi"/>
                <w:sz w:val="22"/>
                <w:szCs w:val="22"/>
                <w:lang w:eastAsia="lv-LV"/>
              </w:rPr>
              <w:t>.gadu</w:t>
            </w:r>
            <w:r w:rsidR="00955E9D" w:rsidRPr="00CE68EA">
              <w:rPr>
                <w:rFonts w:eastAsia="Times New Roman" w:cstheme="minorHAnsi"/>
                <w:sz w:val="22"/>
                <w:szCs w:val="22"/>
                <w:lang w:eastAsia="lv-LV"/>
              </w:rPr>
              <w:t xml:space="preserve"> 1.cet.plānu</w:t>
            </w:r>
          </w:p>
        </w:tc>
      </w:tr>
      <w:tr w:rsidR="00101BE7" w:rsidRPr="00CE68EA" w14:paraId="5301AF98" w14:textId="77777777" w:rsidTr="0080166A">
        <w:trPr>
          <w:cnfStyle w:val="100000000000" w:firstRow="1" w:lastRow="0" w:firstColumn="0" w:lastColumn="0" w:oddVBand="0" w:evenVBand="0" w:oddHBand="0" w:evenHBand="0" w:firstRowFirstColumn="0" w:firstRowLastColumn="0" w:lastRowFirstColumn="0" w:lastRowLastColumn="0"/>
          <w:trHeight w:val="315"/>
          <w:tblHeader/>
        </w:trPr>
        <w:tc>
          <w:tcPr>
            <w:tcW w:w="1691" w:type="dxa"/>
            <w:vMerge/>
            <w:hideMark/>
          </w:tcPr>
          <w:p w14:paraId="47DD7D7B" w14:textId="77777777" w:rsidR="00304765" w:rsidRPr="00CE68EA" w:rsidRDefault="00304765" w:rsidP="00DD6EFE">
            <w:pPr>
              <w:spacing w:before="0"/>
              <w:jc w:val="center"/>
              <w:rPr>
                <w:rFonts w:eastAsia="Times New Roman" w:cstheme="minorHAnsi"/>
                <w:b w:val="0"/>
                <w:bCs w:val="0"/>
                <w:sz w:val="22"/>
                <w:szCs w:val="22"/>
                <w:lang w:eastAsia="lv-LV"/>
              </w:rPr>
            </w:pPr>
          </w:p>
        </w:tc>
        <w:tc>
          <w:tcPr>
            <w:tcW w:w="1301" w:type="dxa"/>
            <w:vMerge/>
            <w:hideMark/>
          </w:tcPr>
          <w:p w14:paraId="1723A2EA" w14:textId="77777777" w:rsidR="00304765" w:rsidRPr="00CE68EA" w:rsidRDefault="00304765" w:rsidP="00DD6EFE">
            <w:pPr>
              <w:spacing w:before="0"/>
              <w:jc w:val="center"/>
              <w:rPr>
                <w:rFonts w:eastAsia="Times New Roman" w:cstheme="minorHAnsi"/>
                <w:b w:val="0"/>
                <w:bCs w:val="0"/>
                <w:sz w:val="22"/>
                <w:szCs w:val="22"/>
                <w:lang w:eastAsia="lv-LV"/>
              </w:rPr>
            </w:pPr>
          </w:p>
        </w:tc>
        <w:tc>
          <w:tcPr>
            <w:tcW w:w="1275" w:type="dxa"/>
            <w:vMerge/>
            <w:hideMark/>
          </w:tcPr>
          <w:p w14:paraId="4D2DAC92" w14:textId="77777777" w:rsidR="00304765" w:rsidRPr="00CE68EA" w:rsidRDefault="00304765" w:rsidP="00DD6EFE">
            <w:pPr>
              <w:spacing w:before="0"/>
              <w:jc w:val="center"/>
              <w:rPr>
                <w:rFonts w:eastAsia="Times New Roman" w:cstheme="minorHAnsi"/>
                <w:b w:val="0"/>
                <w:bCs w:val="0"/>
                <w:sz w:val="22"/>
                <w:szCs w:val="22"/>
                <w:lang w:eastAsia="lv-LV"/>
              </w:rPr>
            </w:pPr>
          </w:p>
        </w:tc>
        <w:tc>
          <w:tcPr>
            <w:tcW w:w="1276" w:type="dxa"/>
            <w:vMerge/>
            <w:hideMark/>
          </w:tcPr>
          <w:p w14:paraId="6C423467" w14:textId="77777777" w:rsidR="00304765" w:rsidRPr="00CE68EA" w:rsidRDefault="00304765" w:rsidP="00DD6EFE">
            <w:pPr>
              <w:spacing w:before="0"/>
              <w:jc w:val="center"/>
              <w:rPr>
                <w:rFonts w:eastAsia="Times New Roman" w:cstheme="minorHAnsi"/>
                <w:b w:val="0"/>
                <w:bCs w:val="0"/>
                <w:sz w:val="22"/>
                <w:szCs w:val="22"/>
                <w:lang w:eastAsia="lv-LV"/>
              </w:rPr>
            </w:pPr>
          </w:p>
        </w:tc>
        <w:tc>
          <w:tcPr>
            <w:tcW w:w="1030" w:type="dxa"/>
            <w:hideMark/>
          </w:tcPr>
          <w:p w14:paraId="42E14BAE" w14:textId="77777777" w:rsidR="00304765" w:rsidRPr="00CE68EA" w:rsidRDefault="00304765" w:rsidP="00DD6EFE">
            <w:pPr>
              <w:spacing w:before="0"/>
              <w:jc w:val="center"/>
              <w:rPr>
                <w:rFonts w:eastAsia="Times New Roman" w:cstheme="minorHAnsi"/>
                <w:b w:val="0"/>
                <w:bCs w:val="0"/>
                <w:sz w:val="22"/>
                <w:szCs w:val="22"/>
                <w:lang w:eastAsia="lv-LV"/>
              </w:rPr>
            </w:pPr>
            <w:r w:rsidRPr="00CE68EA">
              <w:rPr>
                <w:rFonts w:eastAsia="Times New Roman" w:cstheme="minorHAnsi"/>
                <w:sz w:val="22"/>
                <w:szCs w:val="22"/>
                <w:lang w:eastAsia="lv-LV"/>
              </w:rPr>
              <w:t>EUR</w:t>
            </w:r>
          </w:p>
        </w:tc>
        <w:tc>
          <w:tcPr>
            <w:tcW w:w="1032" w:type="dxa"/>
            <w:hideMark/>
          </w:tcPr>
          <w:p w14:paraId="58211A37" w14:textId="77777777" w:rsidR="00304765" w:rsidRPr="00CE68EA" w:rsidRDefault="00304765" w:rsidP="00DD6EFE">
            <w:pPr>
              <w:spacing w:before="0"/>
              <w:jc w:val="center"/>
              <w:rPr>
                <w:rFonts w:eastAsia="Times New Roman" w:cstheme="minorHAnsi"/>
                <w:b w:val="0"/>
                <w:bCs w:val="0"/>
                <w:sz w:val="22"/>
                <w:szCs w:val="22"/>
                <w:lang w:eastAsia="lv-LV"/>
              </w:rPr>
            </w:pPr>
            <w:r w:rsidRPr="00CE68EA">
              <w:rPr>
                <w:rFonts w:eastAsia="Times New Roman" w:cstheme="minorHAnsi"/>
                <w:sz w:val="22"/>
                <w:szCs w:val="22"/>
                <w:lang w:eastAsia="lv-LV"/>
              </w:rPr>
              <w:t>%</w:t>
            </w:r>
          </w:p>
        </w:tc>
        <w:tc>
          <w:tcPr>
            <w:tcW w:w="1008" w:type="dxa"/>
            <w:hideMark/>
          </w:tcPr>
          <w:p w14:paraId="08F79F2E" w14:textId="77777777" w:rsidR="00304765" w:rsidRPr="00CE68EA" w:rsidRDefault="00304765" w:rsidP="00DD6EFE">
            <w:pPr>
              <w:spacing w:before="0"/>
              <w:jc w:val="center"/>
              <w:rPr>
                <w:rFonts w:eastAsia="Times New Roman" w:cstheme="minorHAnsi"/>
                <w:b w:val="0"/>
                <w:bCs w:val="0"/>
                <w:sz w:val="22"/>
                <w:szCs w:val="22"/>
                <w:lang w:eastAsia="lv-LV"/>
              </w:rPr>
            </w:pPr>
            <w:r w:rsidRPr="00CE68EA">
              <w:rPr>
                <w:rFonts w:eastAsia="Times New Roman" w:cstheme="minorHAnsi"/>
                <w:sz w:val="22"/>
                <w:szCs w:val="22"/>
                <w:lang w:eastAsia="lv-LV"/>
              </w:rPr>
              <w:t>EUR</w:t>
            </w:r>
          </w:p>
        </w:tc>
        <w:tc>
          <w:tcPr>
            <w:tcW w:w="983" w:type="dxa"/>
            <w:hideMark/>
          </w:tcPr>
          <w:p w14:paraId="1EA24A1B" w14:textId="77777777" w:rsidR="00304765" w:rsidRPr="00CE68EA" w:rsidRDefault="00304765" w:rsidP="00DD6EFE">
            <w:pPr>
              <w:spacing w:before="0"/>
              <w:jc w:val="center"/>
              <w:rPr>
                <w:rFonts w:eastAsia="Times New Roman" w:cstheme="minorHAnsi"/>
                <w:b w:val="0"/>
                <w:bCs w:val="0"/>
                <w:sz w:val="22"/>
                <w:szCs w:val="22"/>
                <w:lang w:eastAsia="lv-LV"/>
              </w:rPr>
            </w:pPr>
            <w:r w:rsidRPr="00CE68EA">
              <w:rPr>
                <w:rFonts w:eastAsia="Times New Roman" w:cstheme="minorHAnsi"/>
                <w:sz w:val="22"/>
                <w:szCs w:val="22"/>
                <w:lang w:eastAsia="lv-LV"/>
              </w:rPr>
              <w:t>%</w:t>
            </w:r>
          </w:p>
        </w:tc>
      </w:tr>
      <w:tr w:rsidR="00304765" w:rsidRPr="00CE68EA" w14:paraId="67303879" w14:textId="77777777" w:rsidTr="0080166A">
        <w:trPr>
          <w:trHeight w:val="315"/>
        </w:trPr>
        <w:tc>
          <w:tcPr>
            <w:tcW w:w="1691" w:type="dxa"/>
            <w:shd w:val="clear" w:color="auto" w:fill="B7DFA8" w:themeFill="accent1" w:themeFillTint="66"/>
            <w:hideMark/>
          </w:tcPr>
          <w:p w14:paraId="02BA467F" w14:textId="77777777" w:rsidR="00304765" w:rsidRPr="00CE68EA" w:rsidRDefault="00304765" w:rsidP="00304765">
            <w:pPr>
              <w:spacing w:before="0"/>
              <w:jc w:val="left"/>
              <w:rPr>
                <w:rFonts w:eastAsia="Times New Roman" w:cstheme="minorHAnsi"/>
                <w:b/>
                <w:bCs/>
                <w:sz w:val="22"/>
                <w:szCs w:val="22"/>
                <w:lang w:eastAsia="lv-LV"/>
              </w:rPr>
            </w:pPr>
            <w:r w:rsidRPr="00CE68EA">
              <w:rPr>
                <w:rFonts w:eastAsia="Times New Roman" w:cstheme="minorHAnsi"/>
                <w:b/>
                <w:bCs/>
                <w:sz w:val="22"/>
                <w:szCs w:val="22"/>
                <w:lang w:eastAsia="lv-LV"/>
              </w:rPr>
              <w:t>AKTĪVI</w:t>
            </w:r>
          </w:p>
        </w:tc>
        <w:tc>
          <w:tcPr>
            <w:tcW w:w="1301" w:type="dxa"/>
            <w:shd w:val="clear" w:color="auto" w:fill="B7DFA8" w:themeFill="accent1" w:themeFillTint="66"/>
            <w:noWrap/>
            <w:hideMark/>
          </w:tcPr>
          <w:p w14:paraId="3F2F154F" w14:textId="2B77CBF4" w:rsidR="00304765" w:rsidRPr="00CE68EA" w:rsidRDefault="00E97313"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10 168 246</w:t>
            </w:r>
          </w:p>
        </w:tc>
        <w:tc>
          <w:tcPr>
            <w:tcW w:w="1275" w:type="dxa"/>
            <w:shd w:val="clear" w:color="auto" w:fill="B7DFA8" w:themeFill="accent1" w:themeFillTint="66"/>
            <w:noWrap/>
            <w:hideMark/>
          </w:tcPr>
          <w:p w14:paraId="0C5140C3" w14:textId="5A7E07F5" w:rsidR="00304765" w:rsidRPr="00CE68EA" w:rsidRDefault="00E97313"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9 770 090</w:t>
            </w:r>
          </w:p>
        </w:tc>
        <w:tc>
          <w:tcPr>
            <w:tcW w:w="1276" w:type="dxa"/>
            <w:shd w:val="clear" w:color="auto" w:fill="B7DFA8" w:themeFill="accent1" w:themeFillTint="66"/>
            <w:noWrap/>
            <w:hideMark/>
          </w:tcPr>
          <w:p w14:paraId="242E20C7" w14:textId="24343515" w:rsidR="00304765" w:rsidRPr="00CE68EA" w:rsidRDefault="00E97313"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9 979 681</w:t>
            </w:r>
          </w:p>
        </w:tc>
        <w:tc>
          <w:tcPr>
            <w:tcW w:w="1030" w:type="dxa"/>
            <w:shd w:val="clear" w:color="auto" w:fill="B7DFA8" w:themeFill="accent1" w:themeFillTint="66"/>
            <w:noWrap/>
            <w:hideMark/>
          </w:tcPr>
          <w:p w14:paraId="18AC4504" w14:textId="6CAF065D" w:rsidR="00304765" w:rsidRPr="00CE68EA" w:rsidRDefault="00E97313"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 xml:space="preserve">-188 565 </w:t>
            </w:r>
          </w:p>
        </w:tc>
        <w:tc>
          <w:tcPr>
            <w:tcW w:w="1032" w:type="dxa"/>
            <w:shd w:val="clear" w:color="auto" w:fill="B7DFA8" w:themeFill="accent1" w:themeFillTint="66"/>
            <w:noWrap/>
            <w:hideMark/>
          </w:tcPr>
          <w:p w14:paraId="23E07250" w14:textId="512D5B66" w:rsidR="00304765" w:rsidRPr="00CE68EA" w:rsidRDefault="00E97313"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-1,85%</w:t>
            </w:r>
          </w:p>
        </w:tc>
        <w:tc>
          <w:tcPr>
            <w:tcW w:w="1008" w:type="dxa"/>
            <w:shd w:val="clear" w:color="auto" w:fill="B7DFA8" w:themeFill="accent1" w:themeFillTint="66"/>
            <w:noWrap/>
            <w:hideMark/>
          </w:tcPr>
          <w:p w14:paraId="748E21F4" w14:textId="00829C2C" w:rsidR="00304765" w:rsidRPr="00CE68EA" w:rsidRDefault="00E97313"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209 591</w:t>
            </w:r>
          </w:p>
        </w:tc>
        <w:tc>
          <w:tcPr>
            <w:tcW w:w="983" w:type="dxa"/>
            <w:shd w:val="clear" w:color="auto" w:fill="B7DFA8" w:themeFill="accent1" w:themeFillTint="66"/>
            <w:noWrap/>
            <w:hideMark/>
          </w:tcPr>
          <w:p w14:paraId="0BB98501" w14:textId="4B228C7B" w:rsidR="00304765" w:rsidRPr="00CE68EA" w:rsidRDefault="00E97313"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2,15</w:t>
            </w:r>
            <w:r w:rsidR="00304765" w:rsidRPr="00CE68EA">
              <w:rPr>
                <w:rFonts w:eastAsia="Times New Roman" w:cstheme="minorHAnsi"/>
                <w:sz w:val="22"/>
                <w:szCs w:val="22"/>
                <w:lang w:eastAsia="lv-LV"/>
              </w:rPr>
              <w:t>%</w:t>
            </w:r>
          </w:p>
        </w:tc>
      </w:tr>
      <w:tr w:rsidR="00304765" w:rsidRPr="00CE68EA" w14:paraId="7EE635E2" w14:textId="77777777" w:rsidTr="0080166A">
        <w:trPr>
          <w:trHeight w:val="315"/>
        </w:trPr>
        <w:tc>
          <w:tcPr>
            <w:tcW w:w="1691" w:type="dxa"/>
            <w:shd w:val="clear" w:color="auto" w:fill="DAEFD3" w:themeFill="accent1" w:themeFillTint="33"/>
            <w:hideMark/>
          </w:tcPr>
          <w:p w14:paraId="3FF3743E" w14:textId="77777777" w:rsidR="00304765" w:rsidRPr="00CE68EA" w:rsidRDefault="00304765" w:rsidP="00304765">
            <w:pPr>
              <w:spacing w:before="0"/>
              <w:jc w:val="left"/>
              <w:rPr>
                <w:rFonts w:eastAsia="Times New Roman" w:cstheme="minorHAnsi"/>
                <w:sz w:val="22"/>
                <w:szCs w:val="22"/>
                <w:lang w:eastAsia="lv-LV"/>
              </w:rPr>
            </w:pPr>
            <w:r w:rsidRPr="00CE68EA">
              <w:rPr>
                <w:rFonts w:eastAsia="Times New Roman" w:cstheme="minorHAnsi"/>
                <w:sz w:val="22"/>
                <w:szCs w:val="22"/>
                <w:lang w:eastAsia="lv-LV"/>
              </w:rPr>
              <w:t>Ilgtermiņa ieguldījumi</w:t>
            </w:r>
          </w:p>
        </w:tc>
        <w:tc>
          <w:tcPr>
            <w:tcW w:w="1301" w:type="dxa"/>
            <w:shd w:val="clear" w:color="auto" w:fill="DAEFD3" w:themeFill="accent1" w:themeFillTint="33"/>
            <w:noWrap/>
            <w:hideMark/>
          </w:tcPr>
          <w:p w14:paraId="79BF32C8" w14:textId="24908928" w:rsidR="00304765" w:rsidRPr="00CE68EA" w:rsidRDefault="00E97313"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8 712 907</w:t>
            </w:r>
          </w:p>
        </w:tc>
        <w:tc>
          <w:tcPr>
            <w:tcW w:w="1275" w:type="dxa"/>
            <w:shd w:val="clear" w:color="auto" w:fill="DAEFD3" w:themeFill="accent1" w:themeFillTint="33"/>
            <w:noWrap/>
            <w:hideMark/>
          </w:tcPr>
          <w:p w14:paraId="370C0EB4" w14:textId="240FCABE" w:rsidR="00304765" w:rsidRPr="00CE68EA" w:rsidRDefault="00E97313"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8 500 618</w:t>
            </w:r>
          </w:p>
        </w:tc>
        <w:tc>
          <w:tcPr>
            <w:tcW w:w="1276" w:type="dxa"/>
            <w:shd w:val="clear" w:color="auto" w:fill="DAEFD3" w:themeFill="accent1" w:themeFillTint="33"/>
            <w:noWrap/>
            <w:hideMark/>
          </w:tcPr>
          <w:p w14:paraId="649CE688" w14:textId="7D3C17D9" w:rsidR="00304765" w:rsidRPr="00CE68EA" w:rsidRDefault="00E97313"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8 572 902</w:t>
            </w:r>
          </w:p>
        </w:tc>
        <w:tc>
          <w:tcPr>
            <w:tcW w:w="1030" w:type="dxa"/>
            <w:shd w:val="clear" w:color="auto" w:fill="DAEFD3" w:themeFill="accent1" w:themeFillTint="33"/>
            <w:noWrap/>
            <w:hideMark/>
          </w:tcPr>
          <w:p w14:paraId="7244D2C2" w14:textId="078FF422" w:rsidR="00304765" w:rsidRPr="00CE68EA" w:rsidRDefault="00304765" w:rsidP="00E97313">
            <w:pPr>
              <w:spacing w:before="0"/>
              <w:jc w:val="right"/>
              <w:rPr>
                <w:rFonts w:eastAsia="Times New Roman" w:cstheme="minorHAnsi"/>
                <w:sz w:val="22"/>
                <w:szCs w:val="22"/>
                <w:lang w:eastAsia="lv-LV"/>
              </w:rPr>
            </w:pPr>
            <w:r w:rsidRPr="00CE68EA">
              <w:rPr>
                <w:rFonts w:eastAsia="Times New Roman" w:cstheme="minorHAnsi"/>
                <w:sz w:val="22"/>
                <w:szCs w:val="22"/>
                <w:lang w:eastAsia="lv-LV"/>
              </w:rPr>
              <w:t>-</w:t>
            </w:r>
            <w:r w:rsidR="00E97313" w:rsidRPr="00CE68EA">
              <w:rPr>
                <w:rFonts w:eastAsia="Times New Roman" w:cstheme="minorHAnsi"/>
                <w:sz w:val="22"/>
                <w:szCs w:val="22"/>
                <w:lang w:eastAsia="lv-LV"/>
              </w:rPr>
              <w:t>140 005</w:t>
            </w:r>
          </w:p>
        </w:tc>
        <w:tc>
          <w:tcPr>
            <w:tcW w:w="1032" w:type="dxa"/>
            <w:shd w:val="clear" w:color="auto" w:fill="DAEFD3" w:themeFill="accent1" w:themeFillTint="33"/>
            <w:noWrap/>
            <w:hideMark/>
          </w:tcPr>
          <w:p w14:paraId="55565722" w14:textId="7ED621D9" w:rsidR="00304765" w:rsidRPr="00CE68EA" w:rsidRDefault="00304765" w:rsidP="00E97313">
            <w:pPr>
              <w:spacing w:before="0"/>
              <w:jc w:val="right"/>
              <w:rPr>
                <w:rFonts w:eastAsia="Times New Roman" w:cstheme="minorHAnsi"/>
                <w:sz w:val="22"/>
                <w:szCs w:val="22"/>
                <w:lang w:eastAsia="lv-LV"/>
              </w:rPr>
            </w:pPr>
            <w:r w:rsidRPr="00CE68EA">
              <w:rPr>
                <w:rFonts w:eastAsia="Times New Roman" w:cstheme="minorHAnsi"/>
                <w:sz w:val="22"/>
                <w:szCs w:val="22"/>
                <w:lang w:eastAsia="lv-LV"/>
              </w:rPr>
              <w:t>-</w:t>
            </w:r>
            <w:r w:rsidR="00E97313" w:rsidRPr="00CE68EA">
              <w:rPr>
                <w:rFonts w:eastAsia="Times New Roman" w:cstheme="minorHAnsi"/>
                <w:sz w:val="22"/>
                <w:szCs w:val="22"/>
                <w:lang w:eastAsia="lv-LV"/>
              </w:rPr>
              <w:t>1,61</w:t>
            </w:r>
            <w:r w:rsidRPr="00CE68EA">
              <w:rPr>
                <w:rFonts w:eastAsia="Times New Roman" w:cstheme="minorHAnsi"/>
                <w:sz w:val="22"/>
                <w:szCs w:val="22"/>
                <w:lang w:eastAsia="lv-LV"/>
              </w:rPr>
              <w:t>%</w:t>
            </w:r>
          </w:p>
        </w:tc>
        <w:tc>
          <w:tcPr>
            <w:tcW w:w="1008" w:type="dxa"/>
            <w:shd w:val="clear" w:color="auto" w:fill="DAEFD3" w:themeFill="accent1" w:themeFillTint="33"/>
            <w:noWrap/>
            <w:hideMark/>
          </w:tcPr>
          <w:p w14:paraId="6C599A87" w14:textId="2B38CF60" w:rsidR="00304765" w:rsidRPr="00CE68EA" w:rsidRDefault="00304765" w:rsidP="00E97313">
            <w:pPr>
              <w:spacing w:before="0"/>
              <w:jc w:val="right"/>
              <w:rPr>
                <w:rFonts w:eastAsia="Times New Roman" w:cstheme="minorHAnsi"/>
                <w:sz w:val="22"/>
                <w:szCs w:val="22"/>
                <w:lang w:eastAsia="lv-LV"/>
              </w:rPr>
            </w:pPr>
            <w:r w:rsidRPr="00CE68EA">
              <w:rPr>
                <w:rFonts w:eastAsia="Times New Roman" w:cstheme="minorHAnsi"/>
                <w:sz w:val="22"/>
                <w:szCs w:val="22"/>
                <w:lang w:eastAsia="lv-LV"/>
              </w:rPr>
              <w:t>-</w:t>
            </w:r>
            <w:r w:rsidR="00E97313" w:rsidRPr="00CE68EA">
              <w:rPr>
                <w:rFonts w:eastAsia="Times New Roman" w:cstheme="minorHAnsi"/>
                <w:sz w:val="22"/>
                <w:szCs w:val="22"/>
                <w:lang w:eastAsia="lv-LV"/>
              </w:rPr>
              <w:t>72 284</w:t>
            </w:r>
          </w:p>
        </w:tc>
        <w:tc>
          <w:tcPr>
            <w:tcW w:w="983" w:type="dxa"/>
            <w:shd w:val="clear" w:color="auto" w:fill="DAEFD3" w:themeFill="accent1" w:themeFillTint="33"/>
            <w:noWrap/>
            <w:hideMark/>
          </w:tcPr>
          <w:p w14:paraId="448A0B74" w14:textId="341B8067" w:rsidR="00304765" w:rsidRPr="00CE68EA" w:rsidRDefault="00304765" w:rsidP="00E97313">
            <w:pPr>
              <w:spacing w:before="0"/>
              <w:jc w:val="right"/>
              <w:rPr>
                <w:rFonts w:eastAsia="Times New Roman" w:cstheme="minorHAnsi"/>
                <w:sz w:val="22"/>
                <w:szCs w:val="22"/>
                <w:lang w:eastAsia="lv-LV"/>
              </w:rPr>
            </w:pPr>
            <w:r w:rsidRPr="00CE68EA">
              <w:rPr>
                <w:rFonts w:eastAsia="Times New Roman" w:cstheme="minorHAnsi"/>
                <w:sz w:val="22"/>
                <w:szCs w:val="22"/>
                <w:lang w:eastAsia="lv-LV"/>
              </w:rPr>
              <w:t>-</w:t>
            </w:r>
            <w:r w:rsidR="00E97313" w:rsidRPr="00CE68EA">
              <w:rPr>
                <w:rFonts w:eastAsia="Times New Roman" w:cstheme="minorHAnsi"/>
                <w:sz w:val="22"/>
                <w:szCs w:val="22"/>
                <w:lang w:eastAsia="lv-LV"/>
              </w:rPr>
              <w:t>0,85</w:t>
            </w:r>
            <w:r w:rsidRPr="00CE68EA">
              <w:rPr>
                <w:rFonts w:eastAsia="Times New Roman" w:cstheme="minorHAnsi"/>
                <w:sz w:val="22"/>
                <w:szCs w:val="22"/>
                <w:lang w:eastAsia="lv-LV"/>
              </w:rPr>
              <w:t>%</w:t>
            </w:r>
          </w:p>
        </w:tc>
      </w:tr>
      <w:tr w:rsidR="00E7197A" w:rsidRPr="00CE68EA" w14:paraId="0F5432C2" w14:textId="77777777" w:rsidTr="0080166A">
        <w:trPr>
          <w:trHeight w:val="315"/>
        </w:trPr>
        <w:tc>
          <w:tcPr>
            <w:tcW w:w="1691" w:type="dxa"/>
            <w:hideMark/>
          </w:tcPr>
          <w:p w14:paraId="60AE09A6" w14:textId="77777777" w:rsidR="00304765" w:rsidRPr="00CE68EA" w:rsidRDefault="00304765" w:rsidP="00304765">
            <w:pPr>
              <w:spacing w:before="0"/>
              <w:jc w:val="right"/>
              <w:rPr>
                <w:rFonts w:eastAsia="Times New Roman" w:cstheme="minorHAnsi"/>
                <w:sz w:val="22"/>
                <w:szCs w:val="22"/>
                <w:lang w:eastAsia="lv-LV"/>
              </w:rPr>
            </w:pPr>
            <w:r w:rsidRPr="00CE68EA">
              <w:rPr>
                <w:rFonts w:eastAsia="Times New Roman" w:cstheme="minorHAnsi"/>
                <w:sz w:val="22"/>
                <w:szCs w:val="22"/>
                <w:lang w:eastAsia="lv-LV"/>
              </w:rPr>
              <w:t>Nemateriālie ieguldījumi</w:t>
            </w:r>
          </w:p>
        </w:tc>
        <w:tc>
          <w:tcPr>
            <w:tcW w:w="1301" w:type="dxa"/>
            <w:noWrap/>
            <w:hideMark/>
          </w:tcPr>
          <w:p w14:paraId="0FB50A89" w14:textId="3518F7F1" w:rsidR="00304765" w:rsidRPr="00CE68EA" w:rsidRDefault="00E97313"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27 042</w:t>
            </w:r>
          </w:p>
        </w:tc>
        <w:tc>
          <w:tcPr>
            <w:tcW w:w="1275" w:type="dxa"/>
            <w:noWrap/>
            <w:hideMark/>
          </w:tcPr>
          <w:p w14:paraId="2F61EC75" w14:textId="0B267997" w:rsidR="00304765" w:rsidRPr="00CE68EA" w:rsidRDefault="00E97313"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19 226</w:t>
            </w:r>
          </w:p>
        </w:tc>
        <w:tc>
          <w:tcPr>
            <w:tcW w:w="1276" w:type="dxa"/>
            <w:noWrap/>
            <w:hideMark/>
          </w:tcPr>
          <w:p w14:paraId="5AB9114E" w14:textId="6B5F7D93" w:rsidR="00304765" w:rsidRPr="00CE68EA" w:rsidRDefault="00E97313"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19 226</w:t>
            </w:r>
          </w:p>
        </w:tc>
        <w:tc>
          <w:tcPr>
            <w:tcW w:w="1030" w:type="dxa"/>
            <w:noWrap/>
            <w:hideMark/>
          </w:tcPr>
          <w:p w14:paraId="08D9BE26" w14:textId="1D750123" w:rsidR="00304765" w:rsidRPr="00CE68EA" w:rsidRDefault="00304765" w:rsidP="00E97313">
            <w:pPr>
              <w:spacing w:before="0"/>
              <w:jc w:val="right"/>
              <w:rPr>
                <w:rFonts w:eastAsia="Times New Roman" w:cstheme="minorHAnsi"/>
                <w:sz w:val="22"/>
                <w:szCs w:val="22"/>
                <w:lang w:eastAsia="lv-LV"/>
              </w:rPr>
            </w:pPr>
            <w:r w:rsidRPr="00CE68EA">
              <w:rPr>
                <w:rFonts w:eastAsia="Times New Roman" w:cstheme="minorHAnsi"/>
                <w:sz w:val="22"/>
                <w:szCs w:val="22"/>
                <w:lang w:eastAsia="lv-LV"/>
              </w:rPr>
              <w:t>-</w:t>
            </w:r>
            <w:r w:rsidR="00E97313" w:rsidRPr="00CE68EA">
              <w:rPr>
                <w:rFonts w:eastAsia="Times New Roman" w:cstheme="minorHAnsi"/>
                <w:sz w:val="22"/>
                <w:szCs w:val="22"/>
                <w:lang w:eastAsia="lv-LV"/>
              </w:rPr>
              <w:t>7 816</w:t>
            </w:r>
          </w:p>
        </w:tc>
        <w:tc>
          <w:tcPr>
            <w:tcW w:w="1032" w:type="dxa"/>
            <w:noWrap/>
            <w:hideMark/>
          </w:tcPr>
          <w:p w14:paraId="24605EFF" w14:textId="41EC8395" w:rsidR="00304765" w:rsidRPr="00CE68EA" w:rsidRDefault="00304765" w:rsidP="00E97313">
            <w:pPr>
              <w:spacing w:before="0"/>
              <w:jc w:val="right"/>
              <w:rPr>
                <w:rFonts w:eastAsia="Times New Roman" w:cstheme="minorHAnsi"/>
                <w:sz w:val="22"/>
                <w:szCs w:val="22"/>
                <w:lang w:eastAsia="lv-LV"/>
              </w:rPr>
            </w:pPr>
            <w:r w:rsidRPr="00CE68EA">
              <w:rPr>
                <w:rFonts w:eastAsia="Times New Roman" w:cstheme="minorHAnsi"/>
                <w:sz w:val="22"/>
                <w:szCs w:val="22"/>
                <w:lang w:eastAsia="lv-LV"/>
              </w:rPr>
              <w:t>-</w:t>
            </w:r>
            <w:r w:rsidR="00E97313" w:rsidRPr="00CE68EA">
              <w:rPr>
                <w:rFonts w:eastAsia="Times New Roman" w:cstheme="minorHAnsi"/>
                <w:sz w:val="22"/>
                <w:szCs w:val="22"/>
                <w:lang w:eastAsia="lv-LV"/>
              </w:rPr>
              <w:t>28,90</w:t>
            </w:r>
            <w:r w:rsidRPr="00CE68EA">
              <w:rPr>
                <w:rFonts w:eastAsia="Times New Roman" w:cstheme="minorHAnsi"/>
                <w:sz w:val="22"/>
                <w:szCs w:val="22"/>
                <w:lang w:eastAsia="lv-LV"/>
              </w:rPr>
              <w:t>%</w:t>
            </w:r>
          </w:p>
        </w:tc>
        <w:tc>
          <w:tcPr>
            <w:tcW w:w="1008" w:type="dxa"/>
            <w:noWrap/>
            <w:hideMark/>
          </w:tcPr>
          <w:p w14:paraId="2029100A" w14:textId="4CFCE529" w:rsidR="00304765" w:rsidRPr="00CE68EA" w:rsidRDefault="00E97313"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0</w:t>
            </w:r>
          </w:p>
        </w:tc>
        <w:tc>
          <w:tcPr>
            <w:tcW w:w="983" w:type="dxa"/>
            <w:noWrap/>
            <w:hideMark/>
          </w:tcPr>
          <w:p w14:paraId="62591A56" w14:textId="466C8512" w:rsidR="00304765" w:rsidRPr="00CE68EA" w:rsidRDefault="00E97313"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0</w:t>
            </w:r>
            <w:r w:rsidR="00304765" w:rsidRPr="00CE68EA">
              <w:rPr>
                <w:rFonts w:eastAsia="Times New Roman" w:cstheme="minorHAnsi"/>
                <w:sz w:val="22"/>
                <w:szCs w:val="22"/>
                <w:lang w:eastAsia="lv-LV"/>
              </w:rPr>
              <w:t>%</w:t>
            </w:r>
          </w:p>
        </w:tc>
      </w:tr>
      <w:tr w:rsidR="00E7197A" w:rsidRPr="00CE68EA" w14:paraId="05E6ED3B" w14:textId="77777777" w:rsidTr="0080166A">
        <w:trPr>
          <w:trHeight w:val="315"/>
        </w:trPr>
        <w:tc>
          <w:tcPr>
            <w:tcW w:w="1691" w:type="dxa"/>
            <w:hideMark/>
          </w:tcPr>
          <w:p w14:paraId="2C2BE3F7" w14:textId="77777777" w:rsidR="00304765" w:rsidRPr="00CE68EA" w:rsidRDefault="00304765" w:rsidP="00304765">
            <w:pPr>
              <w:spacing w:before="0"/>
              <w:jc w:val="right"/>
              <w:rPr>
                <w:rFonts w:eastAsia="Times New Roman" w:cstheme="minorHAnsi"/>
                <w:sz w:val="22"/>
                <w:szCs w:val="22"/>
                <w:lang w:eastAsia="lv-LV"/>
              </w:rPr>
            </w:pPr>
            <w:r w:rsidRPr="00CE68EA">
              <w:rPr>
                <w:rFonts w:eastAsia="Times New Roman" w:cstheme="minorHAnsi"/>
                <w:sz w:val="22"/>
                <w:szCs w:val="22"/>
                <w:lang w:eastAsia="lv-LV"/>
              </w:rPr>
              <w:t>Pamatlīdzekļi</w:t>
            </w:r>
          </w:p>
        </w:tc>
        <w:tc>
          <w:tcPr>
            <w:tcW w:w="1301" w:type="dxa"/>
            <w:noWrap/>
            <w:hideMark/>
          </w:tcPr>
          <w:p w14:paraId="2AD54A02" w14:textId="4C0140C1" w:rsidR="00304765" w:rsidRPr="00CE68EA" w:rsidRDefault="00304765" w:rsidP="00E97313">
            <w:pPr>
              <w:spacing w:before="0"/>
              <w:jc w:val="right"/>
              <w:rPr>
                <w:rFonts w:eastAsia="Times New Roman" w:cstheme="minorHAnsi"/>
                <w:sz w:val="22"/>
                <w:szCs w:val="22"/>
                <w:lang w:eastAsia="lv-LV"/>
              </w:rPr>
            </w:pPr>
            <w:r w:rsidRPr="00CE68EA">
              <w:rPr>
                <w:rFonts w:eastAsia="Times New Roman" w:cstheme="minorHAnsi"/>
                <w:sz w:val="22"/>
                <w:szCs w:val="22"/>
                <w:lang w:eastAsia="lv-LV"/>
              </w:rPr>
              <w:t>8</w:t>
            </w:r>
            <w:r w:rsidR="00E97313" w:rsidRPr="00CE68EA">
              <w:rPr>
                <w:rFonts w:eastAsia="Times New Roman" w:cstheme="minorHAnsi"/>
                <w:sz w:val="22"/>
                <w:szCs w:val="22"/>
                <w:lang w:eastAsia="lv-LV"/>
              </w:rPr>
              <w:t> 685 865</w:t>
            </w:r>
          </w:p>
        </w:tc>
        <w:tc>
          <w:tcPr>
            <w:tcW w:w="1275" w:type="dxa"/>
            <w:noWrap/>
            <w:hideMark/>
          </w:tcPr>
          <w:p w14:paraId="5384E8F2" w14:textId="5B9E9C94" w:rsidR="00304765" w:rsidRPr="00CE68EA" w:rsidRDefault="00E97313"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8 481 392</w:t>
            </w:r>
          </w:p>
        </w:tc>
        <w:tc>
          <w:tcPr>
            <w:tcW w:w="1276" w:type="dxa"/>
            <w:noWrap/>
            <w:hideMark/>
          </w:tcPr>
          <w:p w14:paraId="2CE96AED" w14:textId="3B4C62C9" w:rsidR="00304765" w:rsidRPr="00CE68EA" w:rsidRDefault="00E97313"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8 553 676</w:t>
            </w:r>
          </w:p>
        </w:tc>
        <w:tc>
          <w:tcPr>
            <w:tcW w:w="1030" w:type="dxa"/>
            <w:noWrap/>
            <w:hideMark/>
          </w:tcPr>
          <w:p w14:paraId="11B7C5DD" w14:textId="5FF0E833" w:rsidR="00304765" w:rsidRPr="00CE68EA" w:rsidRDefault="00E97313"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-132 189</w:t>
            </w:r>
          </w:p>
        </w:tc>
        <w:tc>
          <w:tcPr>
            <w:tcW w:w="1032" w:type="dxa"/>
            <w:noWrap/>
            <w:hideMark/>
          </w:tcPr>
          <w:p w14:paraId="522E78DD" w14:textId="18EAE973" w:rsidR="00304765" w:rsidRPr="00CE68EA" w:rsidRDefault="00E97313" w:rsidP="00E97313">
            <w:pPr>
              <w:spacing w:before="0"/>
              <w:jc w:val="right"/>
              <w:rPr>
                <w:rFonts w:eastAsia="Times New Roman" w:cstheme="minorHAnsi"/>
                <w:sz w:val="22"/>
                <w:szCs w:val="22"/>
                <w:lang w:eastAsia="lv-LV"/>
              </w:rPr>
            </w:pPr>
            <w:r w:rsidRPr="00CE68EA">
              <w:rPr>
                <w:rFonts w:eastAsia="Times New Roman" w:cstheme="minorHAnsi"/>
                <w:sz w:val="22"/>
                <w:szCs w:val="22"/>
                <w:lang w:eastAsia="lv-LV"/>
              </w:rPr>
              <w:t>-1,52</w:t>
            </w:r>
            <w:r w:rsidR="00304765" w:rsidRPr="00CE68EA">
              <w:rPr>
                <w:rFonts w:eastAsia="Times New Roman" w:cstheme="minorHAnsi"/>
                <w:sz w:val="22"/>
                <w:szCs w:val="22"/>
                <w:lang w:eastAsia="lv-LV"/>
              </w:rPr>
              <w:t>%</w:t>
            </w:r>
          </w:p>
        </w:tc>
        <w:tc>
          <w:tcPr>
            <w:tcW w:w="1008" w:type="dxa"/>
            <w:noWrap/>
            <w:hideMark/>
          </w:tcPr>
          <w:p w14:paraId="5BDF9E5C" w14:textId="35CB36F0" w:rsidR="00304765" w:rsidRPr="00CE68EA" w:rsidRDefault="00E97313" w:rsidP="00E97313">
            <w:pPr>
              <w:spacing w:before="0"/>
              <w:jc w:val="right"/>
              <w:rPr>
                <w:rFonts w:eastAsia="Times New Roman" w:cstheme="minorHAnsi"/>
                <w:sz w:val="22"/>
                <w:szCs w:val="22"/>
                <w:lang w:eastAsia="lv-LV"/>
              </w:rPr>
            </w:pPr>
            <w:r w:rsidRPr="00CE68EA">
              <w:rPr>
                <w:rFonts w:eastAsia="Times New Roman" w:cstheme="minorHAnsi"/>
                <w:sz w:val="22"/>
                <w:szCs w:val="22"/>
                <w:lang w:eastAsia="lv-LV"/>
              </w:rPr>
              <w:t>72 284</w:t>
            </w:r>
          </w:p>
        </w:tc>
        <w:tc>
          <w:tcPr>
            <w:tcW w:w="983" w:type="dxa"/>
            <w:noWrap/>
            <w:hideMark/>
          </w:tcPr>
          <w:p w14:paraId="2CCB14BA" w14:textId="6A027C09" w:rsidR="00304765" w:rsidRPr="00CE68EA" w:rsidRDefault="00E97313"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0,85</w:t>
            </w:r>
            <w:r w:rsidR="00304765" w:rsidRPr="00CE68EA">
              <w:rPr>
                <w:rFonts w:eastAsia="Times New Roman" w:cstheme="minorHAnsi"/>
                <w:sz w:val="22"/>
                <w:szCs w:val="22"/>
                <w:lang w:eastAsia="lv-LV"/>
              </w:rPr>
              <w:t>%</w:t>
            </w:r>
          </w:p>
        </w:tc>
      </w:tr>
      <w:tr w:rsidR="00304765" w:rsidRPr="00CE68EA" w14:paraId="4ECDB9A0" w14:textId="77777777" w:rsidTr="0080166A">
        <w:trPr>
          <w:trHeight w:val="315"/>
        </w:trPr>
        <w:tc>
          <w:tcPr>
            <w:tcW w:w="1691" w:type="dxa"/>
            <w:shd w:val="clear" w:color="auto" w:fill="DAEFD3" w:themeFill="accent1" w:themeFillTint="33"/>
            <w:hideMark/>
          </w:tcPr>
          <w:p w14:paraId="072792C1" w14:textId="77777777" w:rsidR="00304765" w:rsidRPr="00CE68EA" w:rsidRDefault="00304765" w:rsidP="00304765">
            <w:pPr>
              <w:spacing w:before="0"/>
              <w:jc w:val="left"/>
              <w:rPr>
                <w:rFonts w:eastAsia="Times New Roman" w:cstheme="minorHAnsi"/>
                <w:sz w:val="22"/>
                <w:szCs w:val="22"/>
                <w:lang w:eastAsia="lv-LV"/>
              </w:rPr>
            </w:pPr>
            <w:r w:rsidRPr="00CE68EA">
              <w:rPr>
                <w:rFonts w:eastAsia="Times New Roman" w:cstheme="minorHAnsi"/>
                <w:sz w:val="22"/>
                <w:szCs w:val="22"/>
                <w:lang w:eastAsia="lv-LV"/>
              </w:rPr>
              <w:t>Apgrozāmie līdzekļi</w:t>
            </w:r>
          </w:p>
        </w:tc>
        <w:tc>
          <w:tcPr>
            <w:tcW w:w="1301" w:type="dxa"/>
            <w:shd w:val="clear" w:color="auto" w:fill="DAEFD3" w:themeFill="accent1" w:themeFillTint="33"/>
            <w:noWrap/>
            <w:hideMark/>
          </w:tcPr>
          <w:p w14:paraId="1435B0EF" w14:textId="03C6A26C" w:rsidR="00304765" w:rsidRPr="00CE68EA" w:rsidRDefault="00E97313"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1 455 339</w:t>
            </w:r>
          </w:p>
        </w:tc>
        <w:tc>
          <w:tcPr>
            <w:tcW w:w="1275" w:type="dxa"/>
            <w:shd w:val="clear" w:color="auto" w:fill="DAEFD3" w:themeFill="accent1" w:themeFillTint="33"/>
            <w:noWrap/>
            <w:hideMark/>
          </w:tcPr>
          <w:p w14:paraId="6AD18ADA" w14:textId="1CF2B2F9" w:rsidR="00304765" w:rsidRPr="00CE68EA" w:rsidRDefault="00E97313"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1 269 472</w:t>
            </w:r>
          </w:p>
        </w:tc>
        <w:tc>
          <w:tcPr>
            <w:tcW w:w="1276" w:type="dxa"/>
            <w:shd w:val="clear" w:color="auto" w:fill="DAEFD3" w:themeFill="accent1" w:themeFillTint="33"/>
            <w:noWrap/>
            <w:hideMark/>
          </w:tcPr>
          <w:p w14:paraId="03C8B8B9" w14:textId="54572718" w:rsidR="00304765" w:rsidRPr="00CE68EA" w:rsidRDefault="00E97313"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1 406 779</w:t>
            </w:r>
          </w:p>
        </w:tc>
        <w:tc>
          <w:tcPr>
            <w:tcW w:w="1030" w:type="dxa"/>
            <w:shd w:val="clear" w:color="auto" w:fill="DAEFD3" w:themeFill="accent1" w:themeFillTint="33"/>
            <w:noWrap/>
            <w:hideMark/>
          </w:tcPr>
          <w:p w14:paraId="4663377F" w14:textId="2E83995D" w:rsidR="00304765" w:rsidRPr="00CE68EA" w:rsidRDefault="00E97313"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-48 560</w:t>
            </w:r>
          </w:p>
        </w:tc>
        <w:tc>
          <w:tcPr>
            <w:tcW w:w="1032" w:type="dxa"/>
            <w:shd w:val="clear" w:color="auto" w:fill="DAEFD3" w:themeFill="accent1" w:themeFillTint="33"/>
            <w:noWrap/>
            <w:hideMark/>
          </w:tcPr>
          <w:p w14:paraId="6754D601" w14:textId="2272626A" w:rsidR="00304765" w:rsidRPr="00CE68EA" w:rsidRDefault="00E97313"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-3,34</w:t>
            </w:r>
            <w:r w:rsidR="00304765" w:rsidRPr="00CE68EA">
              <w:rPr>
                <w:rFonts w:eastAsia="Times New Roman" w:cstheme="minorHAnsi"/>
                <w:sz w:val="22"/>
                <w:szCs w:val="22"/>
                <w:lang w:eastAsia="lv-LV"/>
              </w:rPr>
              <w:t>%</w:t>
            </w:r>
          </w:p>
        </w:tc>
        <w:tc>
          <w:tcPr>
            <w:tcW w:w="1008" w:type="dxa"/>
            <w:shd w:val="clear" w:color="auto" w:fill="DAEFD3" w:themeFill="accent1" w:themeFillTint="33"/>
            <w:noWrap/>
            <w:hideMark/>
          </w:tcPr>
          <w:p w14:paraId="3CA2E085" w14:textId="10BFCDDA" w:rsidR="00304765" w:rsidRPr="00CE68EA" w:rsidRDefault="00E97313"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137 307</w:t>
            </w:r>
          </w:p>
        </w:tc>
        <w:tc>
          <w:tcPr>
            <w:tcW w:w="983" w:type="dxa"/>
            <w:shd w:val="clear" w:color="auto" w:fill="DAEFD3" w:themeFill="accent1" w:themeFillTint="33"/>
            <w:noWrap/>
            <w:hideMark/>
          </w:tcPr>
          <w:p w14:paraId="4F8C2755" w14:textId="097292B7" w:rsidR="00304765" w:rsidRPr="00CE68EA" w:rsidRDefault="00E97313"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10,82</w:t>
            </w:r>
            <w:r w:rsidR="00304765" w:rsidRPr="00CE68EA">
              <w:rPr>
                <w:rFonts w:eastAsia="Times New Roman" w:cstheme="minorHAnsi"/>
                <w:sz w:val="22"/>
                <w:szCs w:val="22"/>
                <w:lang w:eastAsia="lv-LV"/>
              </w:rPr>
              <w:t>%</w:t>
            </w:r>
          </w:p>
        </w:tc>
      </w:tr>
      <w:tr w:rsidR="00E7197A" w:rsidRPr="00CE68EA" w14:paraId="47C8E840" w14:textId="77777777" w:rsidTr="0080166A">
        <w:trPr>
          <w:trHeight w:val="315"/>
        </w:trPr>
        <w:tc>
          <w:tcPr>
            <w:tcW w:w="1691" w:type="dxa"/>
            <w:hideMark/>
          </w:tcPr>
          <w:p w14:paraId="45570F7C" w14:textId="77777777" w:rsidR="00304765" w:rsidRPr="00CE68EA" w:rsidRDefault="00304765" w:rsidP="00304765">
            <w:pPr>
              <w:spacing w:before="0"/>
              <w:jc w:val="right"/>
              <w:rPr>
                <w:rFonts w:eastAsia="Times New Roman" w:cstheme="minorHAnsi"/>
                <w:sz w:val="22"/>
                <w:szCs w:val="22"/>
                <w:lang w:eastAsia="lv-LV"/>
              </w:rPr>
            </w:pPr>
            <w:r w:rsidRPr="00CE68EA">
              <w:rPr>
                <w:rFonts w:eastAsia="Times New Roman" w:cstheme="minorHAnsi"/>
                <w:sz w:val="22"/>
                <w:szCs w:val="22"/>
                <w:lang w:eastAsia="lv-LV"/>
              </w:rPr>
              <w:t>Krājumi</w:t>
            </w:r>
          </w:p>
        </w:tc>
        <w:tc>
          <w:tcPr>
            <w:tcW w:w="1301" w:type="dxa"/>
            <w:noWrap/>
            <w:hideMark/>
          </w:tcPr>
          <w:p w14:paraId="37F9D227" w14:textId="7FD81147" w:rsidR="00304765" w:rsidRPr="00CE68EA" w:rsidRDefault="00E97313"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33 507</w:t>
            </w:r>
          </w:p>
        </w:tc>
        <w:tc>
          <w:tcPr>
            <w:tcW w:w="1275" w:type="dxa"/>
            <w:noWrap/>
            <w:hideMark/>
          </w:tcPr>
          <w:p w14:paraId="05FFEE4D" w14:textId="4C8AED27" w:rsidR="00304765" w:rsidRPr="00CE68EA" w:rsidRDefault="00E97313"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18 540</w:t>
            </w:r>
          </w:p>
        </w:tc>
        <w:tc>
          <w:tcPr>
            <w:tcW w:w="1276" w:type="dxa"/>
            <w:noWrap/>
            <w:hideMark/>
          </w:tcPr>
          <w:p w14:paraId="4665A211" w14:textId="0F3F805C" w:rsidR="00304765" w:rsidRPr="00CE68EA" w:rsidRDefault="00E97313"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38 835</w:t>
            </w:r>
          </w:p>
        </w:tc>
        <w:tc>
          <w:tcPr>
            <w:tcW w:w="1030" w:type="dxa"/>
            <w:noWrap/>
            <w:hideMark/>
          </w:tcPr>
          <w:p w14:paraId="44073274" w14:textId="2A016EF2" w:rsidR="00304765" w:rsidRPr="00CE68EA" w:rsidRDefault="00E97313"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5 328</w:t>
            </w:r>
          </w:p>
        </w:tc>
        <w:tc>
          <w:tcPr>
            <w:tcW w:w="1032" w:type="dxa"/>
            <w:noWrap/>
            <w:hideMark/>
          </w:tcPr>
          <w:p w14:paraId="63276288" w14:textId="495200C8" w:rsidR="00304765" w:rsidRPr="00CE68EA" w:rsidRDefault="00E97313"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15 90</w:t>
            </w:r>
            <w:r w:rsidR="00304765" w:rsidRPr="00CE68EA">
              <w:rPr>
                <w:rFonts w:eastAsia="Times New Roman" w:cstheme="minorHAnsi"/>
                <w:sz w:val="22"/>
                <w:szCs w:val="22"/>
                <w:lang w:eastAsia="lv-LV"/>
              </w:rPr>
              <w:t>%</w:t>
            </w:r>
          </w:p>
        </w:tc>
        <w:tc>
          <w:tcPr>
            <w:tcW w:w="1008" w:type="dxa"/>
            <w:noWrap/>
            <w:hideMark/>
          </w:tcPr>
          <w:p w14:paraId="78FBE5CD" w14:textId="6F65866C" w:rsidR="00304765" w:rsidRPr="00CE68EA" w:rsidRDefault="00E97313"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20 295</w:t>
            </w:r>
          </w:p>
        </w:tc>
        <w:tc>
          <w:tcPr>
            <w:tcW w:w="983" w:type="dxa"/>
            <w:noWrap/>
            <w:hideMark/>
          </w:tcPr>
          <w:p w14:paraId="72ABE6FA" w14:textId="5430D48B" w:rsidR="00304765" w:rsidRPr="00CE68EA" w:rsidRDefault="00E97313"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109,47</w:t>
            </w:r>
            <w:r w:rsidR="00304765" w:rsidRPr="00CE68EA">
              <w:rPr>
                <w:rFonts w:eastAsia="Times New Roman" w:cstheme="minorHAnsi"/>
                <w:sz w:val="22"/>
                <w:szCs w:val="22"/>
                <w:lang w:eastAsia="lv-LV"/>
              </w:rPr>
              <w:t>%</w:t>
            </w:r>
          </w:p>
        </w:tc>
      </w:tr>
      <w:tr w:rsidR="00E7197A" w:rsidRPr="00CE68EA" w14:paraId="61A4CE16" w14:textId="77777777" w:rsidTr="0080166A">
        <w:trPr>
          <w:trHeight w:val="315"/>
        </w:trPr>
        <w:tc>
          <w:tcPr>
            <w:tcW w:w="1691" w:type="dxa"/>
            <w:hideMark/>
          </w:tcPr>
          <w:p w14:paraId="0182BA97" w14:textId="77777777" w:rsidR="00304765" w:rsidRPr="00CE68EA" w:rsidRDefault="00304765" w:rsidP="00304765">
            <w:pPr>
              <w:spacing w:before="0"/>
              <w:jc w:val="right"/>
              <w:rPr>
                <w:rFonts w:eastAsia="Times New Roman" w:cstheme="minorHAnsi"/>
                <w:sz w:val="22"/>
                <w:szCs w:val="22"/>
                <w:lang w:eastAsia="lv-LV"/>
              </w:rPr>
            </w:pPr>
            <w:r w:rsidRPr="00CE68EA">
              <w:rPr>
                <w:rFonts w:eastAsia="Times New Roman" w:cstheme="minorHAnsi"/>
                <w:sz w:val="22"/>
                <w:szCs w:val="22"/>
                <w:lang w:eastAsia="lv-LV"/>
              </w:rPr>
              <w:t>Īstermiņa prasības</w:t>
            </w:r>
          </w:p>
        </w:tc>
        <w:tc>
          <w:tcPr>
            <w:tcW w:w="1301" w:type="dxa"/>
            <w:noWrap/>
            <w:hideMark/>
          </w:tcPr>
          <w:p w14:paraId="0F3CF672" w14:textId="3A2B99BD" w:rsidR="00304765" w:rsidRPr="00CE68EA" w:rsidRDefault="00E97313"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281 079</w:t>
            </w:r>
          </w:p>
        </w:tc>
        <w:tc>
          <w:tcPr>
            <w:tcW w:w="1275" w:type="dxa"/>
            <w:noWrap/>
            <w:hideMark/>
          </w:tcPr>
          <w:p w14:paraId="30C720C0" w14:textId="144E540A" w:rsidR="00304765" w:rsidRPr="00CE68EA" w:rsidRDefault="00E97313"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156 325</w:t>
            </w:r>
          </w:p>
        </w:tc>
        <w:tc>
          <w:tcPr>
            <w:tcW w:w="1276" w:type="dxa"/>
            <w:noWrap/>
            <w:hideMark/>
          </w:tcPr>
          <w:p w14:paraId="6240209B" w14:textId="08A9F92E" w:rsidR="00304765" w:rsidRPr="00CE68EA" w:rsidRDefault="00E97313"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345 791</w:t>
            </w:r>
          </w:p>
        </w:tc>
        <w:tc>
          <w:tcPr>
            <w:tcW w:w="1030" w:type="dxa"/>
            <w:noWrap/>
            <w:hideMark/>
          </w:tcPr>
          <w:p w14:paraId="512FBB01" w14:textId="3094C4F7" w:rsidR="00304765" w:rsidRPr="00CE68EA" w:rsidRDefault="00E97313"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64 712</w:t>
            </w:r>
          </w:p>
        </w:tc>
        <w:tc>
          <w:tcPr>
            <w:tcW w:w="1032" w:type="dxa"/>
            <w:noWrap/>
            <w:hideMark/>
          </w:tcPr>
          <w:p w14:paraId="2F25EBAF" w14:textId="7071F07C" w:rsidR="00304765" w:rsidRPr="00CE68EA" w:rsidRDefault="00E97313"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23,02</w:t>
            </w:r>
            <w:r w:rsidR="00304765" w:rsidRPr="00CE68EA">
              <w:rPr>
                <w:rFonts w:eastAsia="Times New Roman" w:cstheme="minorHAnsi"/>
                <w:sz w:val="22"/>
                <w:szCs w:val="22"/>
                <w:lang w:eastAsia="lv-LV"/>
              </w:rPr>
              <w:t>%</w:t>
            </w:r>
          </w:p>
        </w:tc>
        <w:tc>
          <w:tcPr>
            <w:tcW w:w="1008" w:type="dxa"/>
            <w:noWrap/>
            <w:hideMark/>
          </w:tcPr>
          <w:p w14:paraId="5CCF55A4" w14:textId="211A3CDF" w:rsidR="00304765" w:rsidRPr="00CE68EA" w:rsidRDefault="00E97313"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189 466</w:t>
            </w:r>
          </w:p>
        </w:tc>
        <w:tc>
          <w:tcPr>
            <w:tcW w:w="983" w:type="dxa"/>
            <w:noWrap/>
            <w:hideMark/>
          </w:tcPr>
          <w:p w14:paraId="19154FD8" w14:textId="1F58544C" w:rsidR="00304765" w:rsidRPr="00CE68EA" w:rsidRDefault="009D7629"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121.20</w:t>
            </w:r>
            <w:r w:rsidR="00304765" w:rsidRPr="00CE68EA">
              <w:rPr>
                <w:rFonts w:eastAsia="Times New Roman" w:cstheme="minorHAnsi"/>
                <w:sz w:val="22"/>
                <w:szCs w:val="22"/>
                <w:lang w:eastAsia="lv-LV"/>
              </w:rPr>
              <w:t>%</w:t>
            </w:r>
          </w:p>
        </w:tc>
      </w:tr>
      <w:tr w:rsidR="00E7197A" w:rsidRPr="00CE68EA" w14:paraId="5527A0D7" w14:textId="77777777" w:rsidTr="0080166A">
        <w:trPr>
          <w:trHeight w:val="615"/>
        </w:trPr>
        <w:tc>
          <w:tcPr>
            <w:tcW w:w="1691" w:type="dxa"/>
            <w:shd w:val="clear" w:color="auto" w:fill="DAEFD3" w:themeFill="accent1" w:themeFillTint="33"/>
            <w:hideMark/>
          </w:tcPr>
          <w:p w14:paraId="0A82F9D0" w14:textId="77777777" w:rsidR="00304765" w:rsidRPr="00CE68EA" w:rsidRDefault="00304765" w:rsidP="00304765">
            <w:pPr>
              <w:spacing w:before="0"/>
              <w:jc w:val="right"/>
              <w:rPr>
                <w:rFonts w:eastAsia="Times New Roman" w:cstheme="minorHAnsi"/>
                <w:sz w:val="22"/>
                <w:szCs w:val="22"/>
                <w:lang w:eastAsia="lv-LV"/>
              </w:rPr>
            </w:pPr>
            <w:r w:rsidRPr="00CE68EA">
              <w:rPr>
                <w:rFonts w:eastAsia="Times New Roman" w:cstheme="minorHAnsi"/>
                <w:sz w:val="22"/>
                <w:szCs w:val="22"/>
                <w:lang w:eastAsia="lv-LV"/>
              </w:rPr>
              <w:t>Nākamo periodu maksājumi</w:t>
            </w:r>
          </w:p>
        </w:tc>
        <w:tc>
          <w:tcPr>
            <w:tcW w:w="1301" w:type="dxa"/>
            <w:shd w:val="clear" w:color="auto" w:fill="DAEFD3" w:themeFill="accent1" w:themeFillTint="33"/>
            <w:noWrap/>
            <w:hideMark/>
          </w:tcPr>
          <w:p w14:paraId="5DB64F8B" w14:textId="77D1E3A3" w:rsidR="00304765" w:rsidRPr="00CE68EA" w:rsidRDefault="009D7629"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86 529</w:t>
            </w:r>
          </w:p>
        </w:tc>
        <w:tc>
          <w:tcPr>
            <w:tcW w:w="1275" w:type="dxa"/>
            <w:shd w:val="clear" w:color="auto" w:fill="DAEFD3" w:themeFill="accent1" w:themeFillTint="33"/>
            <w:noWrap/>
            <w:hideMark/>
          </w:tcPr>
          <w:p w14:paraId="36165D11" w14:textId="69BA3520" w:rsidR="00304765" w:rsidRPr="00CE68EA" w:rsidRDefault="009D7629"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76 000</w:t>
            </w:r>
          </w:p>
        </w:tc>
        <w:tc>
          <w:tcPr>
            <w:tcW w:w="1276" w:type="dxa"/>
            <w:shd w:val="clear" w:color="auto" w:fill="DAEFD3" w:themeFill="accent1" w:themeFillTint="33"/>
            <w:noWrap/>
            <w:hideMark/>
          </w:tcPr>
          <w:p w14:paraId="12FD194A" w14:textId="0306A307" w:rsidR="00304765" w:rsidRPr="00CE68EA" w:rsidRDefault="009D7629"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88 522</w:t>
            </w:r>
          </w:p>
        </w:tc>
        <w:tc>
          <w:tcPr>
            <w:tcW w:w="1030" w:type="dxa"/>
            <w:shd w:val="clear" w:color="auto" w:fill="DAEFD3" w:themeFill="accent1" w:themeFillTint="33"/>
            <w:noWrap/>
            <w:hideMark/>
          </w:tcPr>
          <w:p w14:paraId="12BFE3A2" w14:textId="11755950" w:rsidR="00304765" w:rsidRPr="00CE68EA" w:rsidRDefault="009D7629"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1 993</w:t>
            </w:r>
          </w:p>
        </w:tc>
        <w:tc>
          <w:tcPr>
            <w:tcW w:w="1032" w:type="dxa"/>
            <w:shd w:val="clear" w:color="auto" w:fill="DAEFD3" w:themeFill="accent1" w:themeFillTint="33"/>
            <w:noWrap/>
            <w:hideMark/>
          </w:tcPr>
          <w:p w14:paraId="668C76B8" w14:textId="1B151CCF" w:rsidR="00304765" w:rsidRPr="00CE68EA" w:rsidRDefault="009D7629"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2,30%</w:t>
            </w:r>
          </w:p>
        </w:tc>
        <w:tc>
          <w:tcPr>
            <w:tcW w:w="1008" w:type="dxa"/>
            <w:shd w:val="clear" w:color="auto" w:fill="DAEFD3" w:themeFill="accent1" w:themeFillTint="33"/>
            <w:noWrap/>
            <w:hideMark/>
          </w:tcPr>
          <w:p w14:paraId="35B36BE1" w14:textId="27748F4C" w:rsidR="00304765" w:rsidRPr="00CE68EA" w:rsidRDefault="009D7629"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12 522</w:t>
            </w:r>
          </w:p>
        </w:tc>
        <w:tc>
          <w:tcPr>
            <w:tcW w:w="983" w:type="dxa"/>
            <w:shd w:val="clear" w:color="auto" w:fill="DAEFD3" w:themeFill="accent1" w:themeFillTint="33"/>
            <w:noWrap/>
            <w:hideMark/>
          </w:tcPr>
          <w:p w14:paraId="3F3E53F4" w14:textId="17DFBD03" w:rsidR="00304765" w:rsidRPr="00CE68EA" w:rsidRDefault="009D7629"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16,48</w:t>
            </w:r>
            <w:r w:rsidR="00304765" w:rsidRPr="00CE68EA">
              <w:rPr>
                <w:rFonts w:eastAsia="Times New Roman" w:cstheme="minorHAnsi"/>
                <w:sz w:val="22"/>
                <w:szCs w:val="22"/>
                <w:lang w:eastAsia="lv-LV"/>
              </w:rPr>
              <w:t>%</w:t>
            </w:r>
          </w:p>
        </w:tc>
      </w:tr>
      <w:tr w:rsidR="00E7197A" w:rsidRPr="00CE68EA" w14:paraId="2D86A381" w14:textId="77777777" w:rsidTr="0080166A">
        <w:trPr>
          <w:trHeight w:val="315"/>
        </w:trPr>
        <w:tc>
          <w:tcPr>
            <w:tcW w:w="1691" w:type="dxa"/>
            <w:shd w:val="clear" w:color="auto" w:fill="DAEFD3" w:themeFill="accent1" w:themeFillTint="33"/>
            <w:hideMark/>
          </w:tcPr>
          <w:p w14:paraId="6C5232D7" w14:textId="77777777" w:rsidR="00304765" w:rsidRPr="00CE68EA" w:rsidRDefault="00304765" w:rsidP="00304765">
            <w:pPr>
              <w:spacing w:before="0"/>
              <w:jc w:val="right"/>
              <w:rPr>
                <w:rFonts w:eastAsia="Times New Roman" w:cstheme="minorHAnsi"/>
                <w:sz w:val="22"/>
                <w:szCs w:val="22"/>
                <w:lang w:eastAsia="lv-LV"/>
              </w:rPr>
            </w:pPr>
            <w:r w:rsidRPr="00CE68EA">
              <w:rPr>
                <w:rFonts w:eastAsia="Times New Roman" w:cstheme="minorHAnsi"/>
                <w:sz w:val="22"/>
                <w:szCs w:val="22"/>
                <w:lang w:eastAsia="lv-LV"/>
              </w:rPr>
              <w:t>Naudas līdzekļi</w:t>
            </w:r>
          </w:p>
        </w:tc>
        <w:tc>
          <w:tcPr>
            <w:tcW w:w="1301" w:type="dxa"/>
            <w:shd w:val="clear" w:color="auto" w:fill="DAEFD3" w:themeFill="accent1" w:themeFillTint="33"/>
            <w:noWrap/>
            <w:hideMark/>
          </w:tcPr>
          <w:p w14:paraId="28756109" w14:textId="3F7B57D6" w:rsidR="00304765" w:rsidRPr="00CE68EA" w:rsidRDefault="009D7629"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1 054 224</w:t>
            </w:r>
          </w:p>
        </w:tc>
        <w:tc>
          <w:tcPr>
            <w:tcW w:w="1275" w:type="dxa"/>
            <w:shd w:val="clear" w:color="auto" w:fill="DAEFD3" w:themeFill="accent1" w:themeFillTint="33"/>
            <w:noWrap/>
            <w:hideMark/>
          </w:tcPr>
          <w:p w14:paraId="3A1864B8" w14:textId="0917BB96" w:rsidR="00304765" w:rsidRPr="00CE68EA" w:rsidRDefault="009D7629"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1 018 607</w:t>
            </w:r>
          </w:p>
        </w:tc>
        <w:tc>
          <w:tcPr>
            <w:tcW w:w="1276" w:type="dxa"/>
            <w:shd w:val="clear" w:color="auto" w:fill="DAEFD3" w:themeFill="accent1" w:themeFillTint="33"/>
            <w:noWrap/>
            <w:hideMark/>
          </w:tcPr>
          <w:p w14:paraId="54DCC780" w14:textId="6A441351" w:rsidR="00304765" w:rsidRPr="00CE68EA" w:rsidRDefault="009D7629"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933 631</w:t>
            </w:r>
          </w:p>
        </w:tc>
        <w:tc>
          <w:tcPr>
            <w:tcW w:w="1030" w:type="dxa"/>
            <w:shd w:val="clear" w:color="auto" w:fill="DAEFD3" w:themeFill="accent1" w:themeFillTint="33"/>
            <w:noWrap/>
            <w:hideMark/>
          </w:tcPr>
          <w:p w14:paraId="34DE5F7A" w14:textId="07123342" w:rsidR="00304765" w:rsidRPr="00CE68EA" w:rsidRDefault="009D7629"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-120 593</w:t>
            </w:r>
          </w:p>
        </w:tc>
        <w:tc>
          <w:tcPr>
            <w:tcW w:w="1032" w:type="dxa"/>
            <w:shd w:val="clear" w:color="auto" w:fill="DAEFD3" w:themeFill="accent1" w:themeFillTint="33"/>
            <w:noWrap/>
            <w:hideMark/>
          </w:tcPr>
          <w:p w14:paraId="5201AD53" w14:textId="6C5351D2" w:rsidR="00304765" w:rsidRPr="00CE68EA" w:rsidRDefault="009D7629"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-11,44</w:t>
            </w:r>
            <w:r w:rsidR="00304765" w:rsidRPr="00CE68EA">
              <w:rPr>
                <w:rFonts w:eastAsia="Times New Roman" w:cstheme="minorHAnsi"/>
                <w:sz w:val="22"/>
                <w:szCs w:val="22"/>
                <w:lang w:eastAsia="lv-LV"/>
              </w:rPr>
              <w:t>%</w:t>
            </w:r>
          </w:p>
        </w:tc>
        <w:tc>
          <w:tcPr>
            <w:tcW w:w="1008" w:type="dxa"/>
            <w:shd w:val="clear" w:color="auto" w:fill="DAEFD3" w:themeFill="accent1" w:themeFillTint="33"/>
            <w:noWrap/>
            <w:hideMark/>
          </w:tcPr>
          <w:p w14:paraId="25633979" w14:textId="5FBF3673" w:rsidR="00304765" w:rsidRPr="00CE68EA" w:rsidRDefault="009D7629"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-84 976</w:t>
            </w:r>
          </w:p>
        </w:tc>
        <w:tc>
          <w:tcPr>
            <w:tcW w:w="983" w:type="dxa"/>
            <w:shd w:val="clear" w:color="auto" w:fill="DAEFD3" w:themeFill="accent1" w:themeFillTint="33"/>
            <w:noWrap/>
            <w:hideMark/>
          </w:tcPr>
          <w:p w14:paraId="6AA09525" w14:textId="1E1D9117" w:rsidR="00304765" w:rsidRPr="00CE68EA" w:rsidRDefault="009D7629"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-8,34</w:t>
            </w:r>
            <w:r w:rsidR="00304765" w:rsidRPr="00CE68EA">
              <w:rPr>
                <w:rFonts w:eastAsia="Times New Roman" w:cstheme="minorHAnsi"/>
                <w:sz w:val="22"/>
                <w:szCs w:val="22"/>
                <w:lang w:eastAsia="lv-LV"/>
              </w:rPr>
              <w:t>%</w:t>
            </w:r>
          </w:p>
        </w:tc>
      </w:tr>
      <w:tr w:rsidR="00304765" w:rsidRPr="00CE68EA" w14:paraId="7D46AD0D" w14:textId="77777777" w:rsidTr="0080166A">
        <w:trPr>
          <w:trHeight w:val="315"/>
        </w:trPr>
        <w:tc>
          <w:tcPr>
            <w:tcW w:w="1691" w:type="dxa"/>
            <w:shd w:val="clear" w:color="auto" w:fill="B7DFA8" w:themeFill="accent1" w:themeFillTint="66"/>
            <w:hideMark/>
          </w:tcPr>
          <w:p w14:paraId="213B5765" w14:textId="77777777" w:rsidR="00304765" w:rsidRPr="00CE68EA" w:rsidRDefault="00304765" w:rsidP="00304765">
            <w:pPr>
              <w:spacing w:before="0"/>
              <w:jc w:val="left"/>
              <w:rPr>
                <w:rFonts w:eastAsia="Times New Roman" w:cstheme="minorHAnsi"/>
                <w:b/>
                <w:bCs/>
                <w:sz w:val="22"/>
                <w:szCs w:val="22"/>
                <w:lang w:eastAsia="lv-LV"/>
              </w:rPr>
            </w:pPr>
            <w:r w:rsidRPr="00CE68EA">
              <w:rPr>
                <w:rFonts w:eastAsia="Times New Roman" w:cstheme="minorHAnsi"/>
                <w:b/>
                <w:bCs/>
                <w:sz w:val="22"/>
                <w:szCs w:val="22"/>
                <w:lang w:eastAsia="lv-LV"/>
              </w:rPr>
              <w:t>PASIVI</w:t>
            </w:r>
          </w:p>
        </w:tc>
        <w:tc>
          <w:tcPr>
            <w:tcW w:w="1301" w:type="dxa"/>
            <w:shd w:val="clear" w:color="auto" w:fill="B7DFA8" w:themeFill="accent1" w:themeFillTint="66"/>
            <w:noWrap/>
            <w:hideMark/>
          </w:tcPr>
          <w:p w14:paraId="7C9474C3" w14:textId="4D92DCAC" w:rsidR="00304765" w:rsidRPr="00CE68EA" w:rsidRDefault="009D7629"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10 168 246</w:t>
            </w:r>
          </w:p>
        </w:tc>
        <w:tc>
          <w:tcPr>
            <w:tcW w:w="1275" w:type="dxa"/>
            <w:shd w:val="clear" w:color="auto" w:fill="B7DFA8" w:themeFill="accent1" w:themeFillTint="66"/>
            <w:noWrap/>
            <w:hideMark/>
          </w:tcPr>
          <w:p w14:paraId="66504A15" w14:textId="621EF1A3" w:rsidR="00304765" w:rsidRPr="00CE68EA" w:rsidRDefault="009D7629"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9 770 090</w:t>
            </w:r>
          </w:p>
        </w:tc>
        <w:tc>
          <w:tcPr>
            <w:tcW w:w="1276" w:type="dxa"/>
            <w:shd w:val="clear" w:color="auto" w:fill="B7DFA8" w:themeFill="accent1" w:themeFillTint="66"/>
            <w:noWrap/>
            <w:hideMark/>
          </w:tcPr>
          <w:p w14:paraId="3137018A" w14:textId="3239100F" w:rsidR="00304765" w:rsidRPr="00CE68EA" w:rsidRDefault="009D7629"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9 979 681</w:t>
            </w:r>
          </w:p>
        </w:tc>
        <w:tc>
          <w:tcPr>
            <w:tcW w:w="1030" w:type="dxa"/>
            <w:shd w:val="clear" w:color="auto" w:fill="B7DFA8" w:themeFill="accent1" w:themeFillTint="66"/>
            <w:noWrap/>
            <w:hideMark/>
          </w:tcPr>
          <w:p w14:paraId="2642D2EA" w14:textId="3893E0F9" w:rsidR="00304765" w:rsidRPr="00CE68EA" w:rsidRDefault="009D7629"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-188 565</w:t>
            </w:r>
          </w:p>
        </w:tc>
        <w:tc>
          <w:tcPr>
            <w:tcW w:w="1032" w:type="dxa"/>
            <w:shd w:val="clear" w:color="auto" w:fill="B7DFA8" w:themeFill="accent1" w:themeFillTint="66"/>
            <w:noWrap/>
            <w:hideMark/>
          </w:tcPr>
          <w:p w14:paraId="6CA2354B" w14:textId="76368C7F" w:rsidR="00304765" w:rsidRPr="00CE68EA" w:rsidRDefault="009D7629"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-1,85</w:t>
            </w:r>
            <w:r w:rsidR="00304765" w:rsidRPr="00CE68EA">
              <w:rPr>
                <w:rFonts w:eastAsia="Times New Roman" w:cstheme="minorHAnsi"/>
                <w:sz w:val="22"/>
                <w:szCs w:val="22"/>
                <w:lang w:eastAsia="lv-LV"/>
              </w:rPr>
              <w:t>%</w:t>
            </w:r>
          </w:p>
        </w:tc>
        <w:tc>
          <w:tcPr>
            <w:tcW w:w="1008" w:type="dxa"/>
            <w:shd w:val="clear" w:color="auto" w:fill="B7DFA8" w:themeFill="accent1" w:themeFillTint="66"/>
            <w:noWrap/>
            <w:hideMark/>
          </w:tcPr>
          <w:p w14:paraId="25E379BB" w14:textId="70C058C5" w:rsidR="00304765" w:rsidRPr="00CE68EA" w:rsidRDefault="009D7629"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209 591</w:t>
            </w:r>
          </w:p>
        </w:tc>
        <w:tc>
          <w:tcPr>
            <w:tcW w:w="983" w:type="dxa"/>
            <w:shd w:val="clear" w:color="auto" w:fill="B7DFA8" w:themeFill="accent1" w:themeFillTint="66"/>
            <w:noWrap/>
            <w:hideMark/>
          </w:tcPr>
          <w:p w14:paraId="22C1BB99" w14:textId="2CB63653" w:rsidR="00304765" w:rsidRPr="00CE68EA" w:rsidRDefault="009D7629"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2,15%</w:t>
            </w:r>
          </w:p>
        </w:tc>
      </w:tr>
      <w:tr w:rsidR="00304765" w:rsidRPr="00CE68EA" w14:paraId="52565CE8" w14:textId="77777777" w:rsidTr="0080166A">
        <w:trPr>
          <w:trHeight w:val="315"/>
        </w:trPr>
        <w:tc>
          <w:tcPr>
            <w:tcW w:w="1691" w:type="dxa"/>
            <w:shd w:val="clear" w:color="auto" w:fill="DAEFD3" w:themeFill="accent1" w:themeFillTint="33"/>
            <w:hideMark/>
          </w:tcPr>
          <w:p w14:paraId="1B69CF13" w14:textId="77777777" w:rsidR="00304765" w:rsidRPr="00CE68EA" w:rsidRDefault="00304765" w:rsidP="00304765">
            <w:pPr>
              <w:spacing w:before="0"/>
              <w:jc w:val="left"/>
              <w:rPr>
                <w:rFonts w:eastAsia="Times New Roman" w:cstheme="minorHAnsi"/>
                <w:sz w:val="22"/>
                <w:szCs w:val="22"/>
                <w:lang w:eastAsia="lv-LV"/>
              </w:rPr>
            </w:pPr>
            <w:r w:rsidRPr="00CE68EA">
              <w:rPr>
                <w:rFonts w:eastAsia="Times New Roman" w:cstheme="minorHAnsi"/>
                <w:sz w:val="22"/>
                <w:szCs w:val="22"/>
                <w:lang w:eastAsia="lv-LV"/>
              </w:rPr>
              <w:t>Pašu kapitāls</w:t>
            </w:r>
          </w:p>
        </w:tc>
        <w:tc>
          <w:tcPr>
            <w:tcW w:w="1301" w:type="dxa"/>
            <w:shd w:val="clear" w:color="auto" w:fill="DAEFD3" w:themeFill="accent1" w:themeFillTint="33"/>
            <w:noWrap/>
            <w:hideMark/>
          </w:tcPr>
          <w:p w14:paraId="4539CF6A" w14:textId="5AF70F52" w:rsidR="00304765" w:rsidRPr="00CE68EA" w:rsidRDefault="009D7629"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8 107 201</w:t>
            </w:r>
          </w:p>
        </w:tc>
        <w:tc>
          <w:tcPr>
            <w:tcW w:w="1275" w:type="dxa"/>
            <w:shd w:val="clear" w:color="auto" w:fill="DAEFD3" w:themeFill="accent1" w:themeFillTint="33"/>
            <w:noWrap/>
            <w:hideMark/>
          </w:tcPr>
          <w:p w14:paraId="55D6E23C" w14:textId="1B902FE0" w:rsidR="00304765" w:rsidRPr="00CE68EA" w:rsidRDefault="009D7629"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8 007 430</w:t>
            </w:r>
          </w:p>
        </w:tc>
        <w:tc>
          <w:tcPr>
            <w:tcW w:w="1276" w:type="dxa"/>
            <w:shd w:val="clear" w:color="auto" w:fill="DAEFD3" w:themeFill="accent1" w:themeFillTint="33"/>
            <w:noWrap/>
            <w:hideMark/>
          </w:tcPr>
          <w:p w14:paraId="2FB1F1A3" w14:textId="167B8716" w:rsidR="00304765" w:rsidRPr="00CE68EA" w:rsidRDefault="009D7629"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7 944 854</w:t>
            </w:r>
          </w:p>
        </w:tc>
        <w:tc>
          <w:tcPr>
            <w:tcW w:w="1030" w:type="dxa"/>
            <w:shd w:val="clear" w:color="auto" w:fill="DAEFD3" w:themeFill="accent1" w:themeFillTint="33"/>
            <w:noWrap/>
            <w:hideMark/>
          </w:tcPr>
          <w:p w14:paraId="588FCBE3" w14:textId="305F326F" w:rsidR="00304765" w:rsidRPr="00CE68EA" w:rsidRDefault="009D7629"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-162 347</w:t>
            </w:r>
          </w:p>
        </w:tc>
        <w:tc>
          <w:tcPr>
            <w:tcW w:w="1032" w:type="dxa"/>
            <w:shd w:val="clear" w:color="auto" w:fill="DAEFD3" w:themeFill="accent1" w:themeFillTint="33"/>
            <w:noWrap/>
            <w:hideMark/>
          </w:tcPr>
          <w:p w14:paraId="1F8D9CDB" w14:textId="44ED431A" w:rsidR="00304765" w:rsidRPr="00CE68EA" w:rsidRDefault="009D7629"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-2,00%</w:t>
            </w:r>
          </w:p>
        </w:tc>
        <w:tc>
          <w:tcPr>
            <w:tcW w:w="1008" w:type="dxa"/>
            <w:shd w:val="clear" w:color="auto" w:fill="DAEFD3" w:themeFill="accent1" w:themeFillTint="33"/>
            <w:noWrap/>
            <w:hideMark/>
          </w:tcPr>
          <w:p w14:paraId="16C74BC9" w14:textId="4E531096" w:rsidR="00304765" w:rsidRPr="00CE68EA" w:rsidRDefault="009D7629"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-62 576</w:t>
            </w:r>
          </w:p>
        </w:tc>
        <w:tc>
          <w:tcPr>
            <w:tcW w:w="983" w:type="dxa"/>
            <w:shd w:val="clear" w:color="auto" w:fill="DAEFD3" w:themeFill="accent1" w:themeFillTint="33"/>
            <w:noWrap/>
            <w:hideMark/>
          </w:tcPr>
          <w:p w14:paraId="76B329C5" w14:textId="7ACE546E" w:rsidR="00304765" w:rsidRPr="00CE68EA" w:rsidRDefault="009D7629"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-0,78%</w:t>
            </w:r>
          </w:p>
        </w:tc>
      </w:tr>
      <w:tr w:rsidR="00E7197A" w:rsidRPr="00CE68EA" w14:paraId="7FCF84E5" w14:textId="77777777" w:rsidTr="0080166A">
        <w:trPr>
          <w:trHeight w:val="315"/>
        </w:trPr>
        <w:tc>
          <w:tcPr>
            <w:tcW w:w="1691" w:type="dxa"/>
            <w:hideMark/>
          </w:tcPr>
          <w:p w14:paraId="56371150" w14:textId="77777777" w:rsidR="00304765" w:rsidRPr="00CE68EA" w:rsidRDefault="00304765" w:rsidP="00304765">
            <w:pPr>
              <w:spacing w:before="0"/>
              <w:jc w:val="right"/>
              <w:rPr>
                <w:rFonts w:eastAsia="Times New Roman" w:cstheme="minorHAnsi"/>
                <w:sz w:val="22"/>
                <w:szCs w:val="22"/>
                <w:lang w:eastAsia="lv-LV"/>
              </w:rPr>
            </w:pPr>
            <w:r w:rsidRPr="00CE68EA">
              <w:rPr>
                <w:rFonts w:eastAsia="Times New Roman" w:cstheme="minorHAnsi"/>
                <w:sz w:val="22"/>
                <w:szCs w:val="22"/>
                <w:lang w:eastAsia="lv-LV"/>
              </w:rPr>
              <w:t>Pamatkapitāls</w:t>
            </w:r>
          </w:p>
        </w:tc>
        <w:tc>
          <w:tcPr>
            <w:tcW w:w="1301" w:type="dxa"/>
            <w:noWrap/>
            <w:hideMark/>
          </w:tcPr>
          <w:p w14:paraId="19A00C85" w14:textId="77777777" w:rsidR="00304765" w:rsidRPr="00CE68EA" w:rsidRDefault="00304765"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699 475</w:t>
            </w:r>
          </w:p>
        </w:tc>
        <w:tc>
          <w:tcPr>
            <w:tcW w:w="1275" w:type="dxa"/>
            <w:noWrap/>
            <w:hideMark/>
          </w:tcPr>
          <w:p w14:paraId="2C0D17B8" w14:textId="77777777" w:rsidR="00304765" w:rsidRPr="00CE68EA" w:rsidRDefault="00304765"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699 475</w:t>
            </w:r>
          </w:p>
        </w:tc>
        <w:tc>
          <w:tcPr>
            <w:tcW w:w="1276" w:type="dxa"/>
            <w:noWrap/>
            <w:hideMark/>
          </w:tcPr>
          <w:p w14:paraId="0D53B9AD" w14:textId="77777777" w:rsidR="00304765" w:rsidRPr="00CE68EA" w:rsidRDefault="00304765"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699 475</w:t>
            </w:r>
          </w:p>
        </w:tc>
        <w:tc>
          <w:tcPr>
            <w:tcW w:w="1030" w:type="dxa"/>
            <w:noWrap/>
            <w:hideMark/>
          </w:tcPr>
          <w:p w14:paraId="6006CE6E" w14:textId="77777777" w:rsidR="00304765" w:rsidRPr="00CE68EA" w:rsidRDefault="00304765"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0</w:t>
            </w:r>
          </w:p>
        </w:tc>
        <w:tc>
          <w:tcPr>
            <w:tcW w:w="1032" w:type="dxa"/>
            <w:noWrap/>
            <w:hideMark/>
          </w:tcPr>
          <w:p w14:paraId="002A2EBA" w14:textId="77777777" w:rsidR="00304765" w:rsidRPr="00CE68EA" w:rsidRDefault="00304765"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0.00%</w:t>
            </w:r>
          </w:p>
        </w:tc>
        <w:tc>
          <w:tcPr>
            <w:tcW w:w="1008" w:type="dxa"/>
            <w:noWrap/>
            <w:hideMark/>
          </w:tcPr>
          <w:p w14:paraId="6D4F4419" w14:textId="77777777" w:rsidR="00304765" w:rsidRPr="00CE68EA" w:rsidRDefault="00304765"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0</w:t>
            </w:r>
          </w:p>
        </w:tc>
        <w:tc>
          <w:tcPr>
            <w:tcW w:w="983" w:type="dxa"/>
            <w:noWrap/>
            <w:hideMark/>
          </w:tcPr>
          <w:p w14:paraId="14F46B92" w14:textId="77777777" w:rsidR="00304765" w:rsidRPr="00CE68EA" w:rsidRDefault="00304765"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0.00%</w:t>
            </w:r>
          </w:p>
        </w:tc>
      </w:tr>
      <w:tr w:rsidR="00E7197A" w:rsidRPr="00CE68EA" w14:paraId="55FCCFBC" w14:textId="77777777" w:rsidTr="0080166A">
        <w:trPr>
          <w:trHeight w:val="315"/>
        </w:trPr>
        <w:tc>
          <w:tcPr>
            <w:tcW w:w="1691" w:type="dxa"/>
            <w:hideMark/>
          </w:tcPr>
          <w:p w14:paraId="572A429F" w14:textId="77777777" w:rsidR="00304765" w:rsidRPr="00CE68EA" w:rsidRDefault="00304765" w:rsidP="00304765">
            <w:pPr>
              <w:spacing w:before="0"/>
              <w:jc w:val="right"/>
              <w:rPr>
                <w:rFonts w:eastAsia="Times New Roman" w:cstheme="minorHAnsi"/>
                <w:sz w:val="22"/>
                <w:szCs w:val="22"/>
                <w:lang w:eastAsia="lv-LV"/>
              </w:rPr>
            </w:pPr>
            <w:r w:rsidRPr="00CE68EA">
              <w:rPr>
                <w:rFonts w:eastAsia="Times New Roman" w:cstheme="minorHAnsi"/>
                <w:sz w:val="22"/>
                <w:szCs w:val="22"/>
                <w:lang w:eastAsia="lv-LV"/>
              </w:rPr>
              <w:lastRenderedPageBreak/>
              <w:t>Rezerves</w:t>
            </w:r>
          </w:p>
        </w:tc>
        <w:tc>
          <w:tcPr>
            <w:tcW w:w="1301" w:type="dxa"/>
            <w:noWrap/>
            <w:hideMark/>
          </w:tcPr>
          <w:p w14:paraId="0B4AAA4D" w14:textId="4531CC51" w:rsidR="00304765" w:rsidRPr="00CE68EA" w:rsidRDefault="009D7629"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6 933 121</w:t>
            </w:r>
          </w:p>
        </w:tc>
        <w:tc>
          <w:tcPr>
            <w:tcW w:w="1275" w:type="dxa"/>
            <w:noWrap/>
            <w:hideMark/>
          </w:tcPr>
          <w:p w14:paraId="4A740BF6" w14:textId="3B7A9534" w:rsidR="00304765" w:rsidRPr="00CE68EA" w:rsidRDefault="009D7629"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6 857 280</w:t>
            </w:r>
          </w:p>
        </w:tc>
        <w:tc>
          <w:tcPr>
            <w:tcW w:w="1276" w:type="dxa"/>
            <w:noWrap/>
            <w:hideMark/>
          </w:tcPr>
          <w:p w14:paraId="60FBBADA" w14:textId="5288609A" w:rsidR="00304765" w:rsidRPr="00CE68EA" w:rsidRDefault="009D7629"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6 986 342</w:t>
            </w:r>
          </w:p>
        </w:tc>
        <w:tc>
          <w:tcPr>
            <w:tcW w:w="1030" w:type="dxa"/>
            <w:noWrap/>
            <w:hideMark/>
          </w:tcPr>
          <w:p w14:paraId="343C18E9" w14:textId="56A7DE3E" w:rsidR="00304765" w:rsidRPr="00CE68EA" w:rsidRDefault="009D7629"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53 221</w:t>
            </w:r>
          </w:p>
        </w:tc>
        <w:tc>
          <w:tcPr>
            <w:tcW w:w="1032" w:type="dxa"/>
            <w:noWrap/>
            <w:hideMark/>
          </w:tcPr>
          <w:p w14:paraId="009462B6" w14:textId="27E0F398" w:rsidR="00304765" w:rsidRPr="00CE68EA" w:rsidRDefault="009D7629"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0,77</w:t>
            </w:r>
            <w:r w:rsidR="00304765" w:rsidRPr="00CE68EA">
              <w:rPr>
                <w:rFonts w:eastAsia="Times New Roman" w:cstheme="minorHAnsi"/>
                <w:sz w:val="22"/>
                <w:szCs w:val="22"/>
                <w:lang w:eastAsia="lv-LV"/>
              </w:rPr>
              <w:t>%</w:t>
            </w:r>
          </w:p>
        </w:tc>
        <w:tc>
          <w:tcPr>
            <w:tcW w:w="1008" w:type="dxa"/>
            <w:noWrap/>
            <w:hideMark/>
          </w:tcPr>
          <w:p w14:paraId="579B9F35" w14:textId="6BADED4C" w:rsidR="00304765" w:rsidRPr="00CE68EA" w:rsidRDefault="00304765" w:rsidP="009D7629">
            <w:pPr>
              <w:spacing w:before="0"/>
              <w:jc w:val="right"/>
              <w:rPr>
                <w:rFonts w:eastAsia="Times New Roman" w:cstheme="minorHAnsi"/>
                <w:sz w:val="22"/>
                <w:szCs w:val="22"/>
                <w:lang w:eastAsia="lv-LV"/>
              </w:rPr>
            </w:pPr>
            <w:r w:rsidRPr="00CE68EA">
              <w:rPr>
                <w:rFonts w:eastAsia="Times New Roman" w:cstheme="minorHAnsi"/>
                <w:sz w:val="22"/>
                <w:szCs w:val="22"/>
                <w:lang w:eastAsia="lv-LV"/>
              </w:rPr>
              <w:t>-</w:t>
            </w:r>
            <w:r w:rsidR="009D7629" w:rsidRPr="00CE68EA">
              <w:rPr>
                <w:rFonts w:eastAsia="Times New Roman" w:cstheme="minorHAnsi"/>
                <w:sz w:val="22"/>
                <w:szCs w:val="22"/>
                <w:lang w:eastAsia="lv-LV"/>
              </w:rPr>
              <w:t>129 062</w:t>
            </w:r>
          </w:p>
        </w:tc>
        <w:tc>
          <w:tcPr>
            <w:tcW w:w="983" w:type="dxa"/>
            <w:noWrap/>
            <w:hideMark/>
          </w:tcPr>
          <w:p w14:paraId="08378BDA" w14:textId="476A592D" w:rsidR="00304765" w:rsidRPr="00CE68EA" w:rsidRDefault="009D7629"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1,88</w:t>
            </w:r>
            <w:r w:rsidR="00304765" w:rsidRPr="00CE68EA">
              <w:rPr>
                <w:rFonts w:eastAsia="Times New Roman" w:cstheme="minorHAnsi"/>
                <w:sz w:val="22"/>
                <w:szCs w:val="22"/>
                <w:lang w:eastAsia="lv-LV"/>
              </w:rPr>
              <w:t>%</w:t>
            </w:r>
          </w:p>
        </w:tc>
      </w:tr>
      <w:tr w:rsidR="00E7197A" w:rsidRPr="00CE68EA" w14:paraId="5DD348CE" w14:textId="77777777" w:rsidTr="0080166A">
        <w:trPr>
          <w:trHeight w:val="315"/>
        </w:trPr>
        <w:tc>
          <w:tcPr>
            <w:tcW w:w="1691" w:type="dxa"/>
            <w:shd w:val="clear" w:color="auto" w:fill="DAEFD3" w:themeFill="accent1" w:themeFillTint="33"/>
            <w:hideMark/>
          </w:tcPr>
          <w:p w14:paraId="5EBA3936" w14:textId="77777777" w:rsidR="00304765" w:rsidRPr="00CE68EA" w:rsidRDefault="00304765" w:rsidP="00304765">
            <w:pPr>
              <w:spacing w:before="0"/>
              <w:jc w:val="right"/>
              <w:rPr>
                <w:rFonts w:eastAsia="Times New Roman" w:cstheme="minorHAnsi"/>
                <w:sz w:val="22"/>
                <w:szCs w:val="22"/>
                <w:lang w:eastAsia="lv-LV"/>
              </w:rPr>
            </w:pPr>
            <w:r w:rsidRPr="00CE68EA">
              <w:rPr>
                <w:rFonts w:eastAsia="Times New Roman" w:cstheme="minorHAnsi"/>
                <w:sz w:val="22"/>
                <w:szCs w:val="22"/>
                <w:lang w:eastAsia="lv-LV"/>
              </w:rPr>
              <w:t>Nesadalītā peļņa</w:t>
            </w:r>
          </w:p>
        </w:tc>
        <w:tc>
          <w:tcPr>
            <w:tcW w:w="1301" w:type="dxa"/>
            <w:shd w:val="clear" w:color="auto" w:fill="DAEFD3" w:themeFill="accent1" w:themeFillTint="33"/>
            <w:noWrap/>
            <w:hideMark/>
          </w:tcPr>
          <w:p w14:paraId="2931A542" w14:textId="7AD34BD9" w:rsidR="00304765" w:rsidRPr="00CE68EA" w:rsidRDefault="00304765" w:rsidP="009D7629">
            <w:pPr>
              <w:spacing w:before="0"/>
              <w:jc w:val="right"/>
              <w:rPr>
                <w:rFonts w:eastAsia="Times New Roman" w:cstheme="minorHAnsi"/>
                <w:sz w:val="22"/>
                <w:szCs w:val="22"/>
                <w:lang w:eastAsia="lv-LV"/>
              </w:rPr>
            </w:pPr>
            <w:r w:rsidRPr="00CE68EA">
              <w:rPr>
                <w:rFonts w:eastAsia="Times New Roman" w:cstheme="minorHAnsi"/>
                <w:sz w:val="22"/>
                <w:szCs w:val="22"/>
                <w:lang w:eastAsia="lv-LV"/>
              </w:rPr>
              <w:t>47</w:t>
            </w:r>
            <w:r w:rsidR="009D7629" w:rsidRPr="00CE68EA">
              <w:rPr>
                <w:rFonts w:eastAsia="Times New Roman" w:cstheme="minorHAnsi"/>
                <w:sz w:val="22"/>
                <w:szCs w:val="22"/>
                <w:lang w:eastAsia="lv-LV"/>
              </w:rPr>
              <w:t>4</w:t>
            </w:r>
            <w:r w:rsidRPr="00CE68EA">
              <w:rPr>
                <w:rFonts w:eastAsia="Times New Roman" w:cstheme="minorHAnsi"/>
                <w:sz w:val="22"/>
                <w:szCs w:val="22"/>
                <w:lang w:eastAsia="lv-LV"/>
              </w:rPr>
              <w:t xml:space="preserve"> </w:t>
            </w:r>
            <w:r w:rsidR="009D7629" w:rsidRPr="00CE68EA">
              <w:rPr>
                <w:rFonts w:eastAsia="Times New Roman" w:cstheme="minorHAnsi"/>
                <w:sz w:val="22"/>
                <w:szCs w:val="22"/>
                <w:lang w:eastAsia="lv-LV"/>
              </w:rPr>
              <w:t>605</w:t>
            </w:r>
          </w:p>
        </w:tc>
        <w:tc>
          <w:tcPr>
            <w:tcW w:w="1275" w:type="dxa"/>
            <w:shd w:val="clear" w:color="auto" w:fill="DAEFD3" w:themeFill="accent1" w:themeFillTint="33"/>
            <w:noWrap/>
            <w:hideMark/>
          </w:tcPr>
          <w:p w14:paraId="709DAA3E" w14:textId="3B96FFE3" w:rsidR="00304765" w:rsidRPr="00CE68EA" w:rsidRDefault="009D7629"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450 675</w:t>
            </w:r>
          </w:p>
        </w:tc>
        <w:tc>
          <w:tcPr>
            <w:tcW w:w="1276" w:type="dxa"/>
            <w:shd w:val="clear" w:color="auto" w:fill="DAEFD3" w:themeFill="accent1" w:themeFillTint="33"/>
            <w:noWrap/>
            <w:hideMark/>
          </w:tcPr>
          <w:p w14:paraId="6B99017C" w14:textId="75F88AD6" w:rsidR="00304765" w:rsidRPr="00CE68EA" w:rsidRDefault="009D7629"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259 037</w:t>
            </w:r>
          </w:p>
        </w:tc>
        <w:tc>
          <w:tcPr>
            <w:tcW w:w="1030" w:type="dxa"/>
            <w:shd w:val="clear" w:color="auto" w:fill="DAEFD3" w:themeFill="accent1" w:themeFillTint="33"/>
            <w:noWrap/>
            <w:hideMark/>
          </w:tcPr>
          <w:p w14:paraId="67DAE0B7" w14:textId="59C9CD2E" w:rsidR="00304765" w:rsidRPr="00CE68EA" w:rsidRDefault="009D7629"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-215 568</w:t>
            </w:r>
          </w:p>
        </w:tc>
        <w:tc>
          <w:tcPr>
            <w:tcW w:w="1032" w:type="dxa"/>
            <w:shd w:val="clear" w:color="auto" w:fill="DAEFD3" w:themeFill="accent1" w:themeFillTint="33"/>
            <w:noWrap/>
            <w:hideMark/>
          </w:tcPr>
          <w:p w14:paraId="52EBB142" w14:textId="037A61C1" w:rsidR="00304765" w:rsidRPr="00CE68EA" w:rsidRDefault="009D7629"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-45,42</w:t>
            </w:r>
            <w:r w:rsidR="00304765" w:rsidRPr="00CE68EA">
              <w:rPr>
                <w:rFonts w:eastAsia="Times New Roman" w:cstheme="minorHAnsi"/>
                <w:sz w:val="22"/>
                <w:szCs w:val="22"/>
                <w:lang w:eastAsia="lv-LV"/>
              </w:rPr>
              <w:t>%</w:t>
            </w:r>
          </w:p>
        </w:tc>
        <w:tc>
          <w:tcPr>
            <w:tcW w:w="1008" w:type="dxa"/>
            <w:shd w:val="clear" w:color="auto" w:fill="DAEFD3" w:themeFill="accent1" w:themeFillTint="33"/>
            <w:noWrap/>
            <w:hideMark/>
          </w:tcPr>
          <w:p w14:paraId="36FC1695" w14:textId="55E45C2B" w:rsidR="00304765" w:rsidRPr="00CE68EA" w:rsidRDefault="009D7629"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-191 638</w:t>
            </w:r>
          </w:p>
        </w:tc>
        <w:tc>
          <w:tcPr>
            <w:tcW w:w="983" w:type="dxa"/>
            <w:shd w:val="clear" w:color="auto" w:fill="DAEFD3" w:themeFill="accent1" w:themeFillTint="33"/>
            <w:noWrap/>
            <w:hideMark/>
          </w:tcPr>
          <w:p w14:paraId="7FFB114A" w14:textId="7CFD2926" w:rsidR="00304765" w:rsidRPr="00CE68EA" w:rsidRDefault="009D7629"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-42,52</w:t>
            </w:r>
            <w:r w:rsidR="00304765" w:rsidRPr="00CE68EA">
              <w:rPr>
                <w:rFonts w:eastAsia="Times New Roman" w:cstheme="minorHAnsi"/>
                <w:sz w:val="22"/>
                <w:szCs w:val="22"/>
                <w:lang w:eastAsia="lv-LV"/>
              </w:rPr>
              <w:t>%</w:t>
            </w:r>
          </w:p>
        </w:tc>
      </w:tr>
      <w:tr w:rsidR="00304765" w:rsidRPr="00CE68EA" w14:paraId="68D1B59D" w14:textId="77777777" w:rsidTr="0080166A">
        <w:trPr>
          <w:trHeight w:val="315"/>
        </w:trPr>
        <w:tc>
          <w:tcPr>
            <w:tcW w:w="1691" w:type="dxa"/>
            <w:shd w:val="clear" w:color="auto" w:fill="DAEFD3" w:themeFill="accent1" w:themeFillTint="33"/>
            <w:hideMark/>
          </w:tcPr>
          <w:p w14:paraId="6F91C120" w14:textId="77777777" w:rsidR="00304765" w:rsidRPr="00CE68EA" w:rsidRDefault="00304765" w:rsidP="00304765">
            <w:pPr>
              <w:spacing w:before="0"/>
              <w:jc w:val="left"/>
              <w:rPr>
                <w:rFonts w:eastAsia="Times New Roman" w:cstheme="minorHAnsi"/>
                <w:sz w:val="22"/>
                <w:szCs w:val="22"/>
                <w:lang w:eastAsia="lv-LV"/>
              </w:rPr>
            </w:pPr>
            <w:r w:rsidRPr="00CE68EA">
              <w:rPr>
                <w:rFonts w:eastAsia="Times New Roman" w:cstheme="minorHAnsi"/>
                <w:sz w:val="22"/>
                <w:szCs w:val="22"/>
                <w:lang w:eastAsia="lv-LV"/>
              </w:rPr>
              <w:t>Kreditori</w:t>
            </w:r>
          </w:p>
        </w:tc>
        <w:tc>
          <w:tcPr>
            <w:tcW w:w="1301" w:type="dxa"/>
            <w:shd w:val="clear" w:color="auto" w:fill="DAEFD3" w:themeFill="accent1" w:themeFillTint="33"/>
            <w:noWrap/>
            <w:hideMark/>
          </w:tcPr>
          <w:p w14:paraId="45AAE861" w14:textId="4485F789" w:rsidR="00304765" w:rsidRPr="00CE68EA" w:rsidRDefault="009D7629"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2 061 45</w:t>
            </w:r>
          </w:p>
        </w:tc>
        <w:tc>
          <w:tcPr>
            <w:tcW w:w="1275" w:type="dxa"/>
            <w:shd w:val="clear" w:color="auto" w:fill="DAEFD3" w:themeFill="accent1" w:themeFillTint="33"/>
            <w:noWrap/>
            <w:hideMark/>
          </w:tcPr>
          <w:p w14:paraId="48A19F8A" w14:textId="45CACA61" w:rsidR="00304765" w:rsidRPr="00CE68EA" w:rsidRDefault="009D7629"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1 762 660</w:t>
            </w:r>
          </w:p>
        </w:tc>
        <w:tc>
          <w:tcPr>
            <w:tcW w:w="1276" w:type="dxa"/>
            <w:shd w:val="clear" w:color="auto" w:fill="DAEFD3" w:themeFill="accent1" w:themeFillTint="33"/>
            <w:noWrap/>
            <w:hideMark/>
          </w:tcPr>
          <w:p w14:paraId="7B7243DA" w14:textId="53C989EE" w:rsidR="00304765" w:rsidRPr="00CE68EA" w:rsidRDefault="009D7629"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2 034 827</w:t>
            </w:r>
          </w:p>
        </w:tc>
        <w:tc>
          <w:tcPr>
            <w:tcW w:w="1030" w:type="dxa"/>
            <w:shd w:val="clear" w:color="auto" w:fill="DAEFD3" w:themeFill="accent1" w:themeFillTint="33"/>
            <w:noWrap/>
            <w:hideMark/>
          </w:tcPr>
          <w:p w14:paraId="69A1F06A" w14:textId="3BF0D8A4" w:rsidR="00304765" w:rsidRPr="00CE68EA" w:rsidRDefault="009D7629"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-26 218</w:t>
            </w:r>
          </w:p>
        </w:tc>
        <w:tc>
          <w:tcPr>
            <w:tcW w:w="1032" w:type="dxa"/>
            <w:shd w:val="clear" w:color="auto" w:fill="DAEFD3" w:themeFill="accent1" w:themeFillTint="33"/>
            <w:noWrap/>
            <w:hideMark/>
          </w:tcPr>
          <w:p w14:paraId="0490F3D8" w14:textId="2B21EBBB" w:rsidR="00304765" w:rsidRPr="00CE68EA" w:rsidRDefault="009D7629"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-1 ,27</w:t>
            </w:r>
            <w:r w:rsidR="00304765" w:rsidRPr="00CE68EA">
              <w:rPr>
                <w:rFonts w:eastAsia="Times New Roman" w:cstheme="minorHAnsi"/>
                <w:sz w:val="22"/>
                <w:szCs w:val="22"/>
                <w:lang w:eastAsia="lv-LV"/>
              </w:rPr>
              <w:t>%</w:t>
            </w:r>
          </w:p>
        </w:tc>
        <w:tc>
          <w:tcPr>
            <w:tcW w:w="1008" w:type="dxa"/>
            <w:shd w:val="clear" w:color="auto" w:fill="DAEFD3" w:themeFill="accent1" w:themeFillTint="33"/>
            <w:noWrap/>
            <w:hideMark/>
          </w:tcPr>
          <w:p w14:paraId="47E75712" w14:textId="6CB9217E" w:rsidR="00304765" w:rsidRPr="00CE68EA" w:rsidRDefault="009D7629"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272 167</w:t>
            </w:r>
          </w:p>
        </w:tc>
        <w:tc>
          <w:tcPr>
            <w:tcW w:w="983" w:type="dxa"/>
            <w:shd w:val="clear" w:color="auto" w:fill="DAEFD3" w:themeFill="accent1" w:themeFillTint="33"/>
            <w:noWrap/>
            <w:hideMark/>
          </w:tcPr>
          <w:p w14:paraId="110430D2" w14:textId="4B86D414" w:rsidR="00304765" w:rsidRPr="00CE68EA" w:rsidRDefault="00724317"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15.44</w:t>
            </w:r>
            <w:r w:rsidR="00304765" w:rsidRPr="00CE68EA">
              <w:rPr>
                <w:rFonts w:eastAsia="Times New Roman" w:cstheme="minorHAnsi"/>
                <w:sz w:val="22"/>
                <w:szCs w:val="22"/>
                <w:lang w:eastAsia="lv-LV"/>
              </w:rPr>
              <w:t>%</w:t>
            </w:r>
          </w:p>
        </w:tc>
      </w:tr>
      <w:tr w:rsidR="00E7197A" w:rsidRPr="00CE68EA" w14:paraId="4C965365" w14:textId="77777777" w:rsidTr="0080166A">
        <w:trPr>
          <w:trHeight w:val="315"/>
        </w:trPr>
        <w:tc>
          <w:tcPr>
            <w:tcW w:w="1691" w:type="dxa"/>
            <w:hideMark/>
          </w:tcPr>
          <w:p w14:paraId="50313342" w14:textId="77777777" w:rsidR="00304765" w:rsidRPr="00CE68EA" w:rsidRDefault="00304765" w:rsidP="00304765">
            <w:pPr>
              <w:spacing w:before="0"/>
              <w:jc w:val="right"/>
              <w:rPr>
                <w:rFonts w:eastAsia="Times New Roman" w:cstheme="minorHAnsi"/>
                <w:sz w:val="22"/>
                <w:szCs w:val="22"/>
                <w:lang w:eastAsia="lv-LV"/>
              </w:rPr>
            </w:pPr>
            <w:r w:rsidRPr="00CE68EA">
              <w:rPr>
                <w:rFonts w:eastAsia="Times New Roman" w:cstheme="minorHAnsi"/>
                <w:sz w:val="22"/>
                <w:szCs w:val="22"/>
                <w:lang w:eastAsia="lv-LV"/>
              </w:rPr>
              <w:t>Ilgtermiņa kreditori</w:t>
            </w:r>
          </w:p>
        </w:tc>
        <w:tc>
          <w:tcPr>
            <w:tcW w:w="1301" w:type="dxa"/>
            <w:noWrap/>
            <w:hideMark/>
          </w:tcPr>
          <w:p w14:paraId="0A88420C" w14:textId="77777777" w:rsidR="00304765" w:rsidRPr="00CE68EA" w:rsidRDefault="00304765"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1 449 439</w:t>
            </w:r>
          </w:p>
        </w:tc>
        <w:tc>
          <w:tcPr>
            <w:tcW w:w="1275" w:type="dxa"/>
            <w:noWrap/>
            <w:hideMark/>
          </w:tcPr>
          <w:p w14:paraId="285A7C62" w14:textId="3AC93CAD" w:rsidR="00304765" w:rsidRPr="00CE68EA" w:rsidRDefault="00724317"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1 138 383</w:t>
            </w:r>
          </w:p>
        </w:tc>
        <w:tc>
          <w:tcPr>
            <w:tcW w:w="1276" w:type="dxa"/>
            <w:noWrap/>
            <w:hideMark/>
          </w:tcPr>
          <w:p w14:paraId="32629405" w14:textId="3A26E018" w:rsidR="00304765" w:rsidRPr="00CE68EA" w:rsidRDefault="00304765" w:rsidP="00724317">
            <w:pPr>
              <w:spacing w:before="0"/>
              <w:jc w:val="right"/>
              <w:rPr>
                <w:rFonts w:eastAsia="Times New Roman" w:cstheme="minorHAnsi"/>
                <w:sz w:val="22"/>
                <w:szCs w:val="22"/>
                <w:lang w:eastAsia="lv-LV"/>
              </w:rPr>
            </w:pPr>
            <w:r w:rsidRPr="00CE68EA">
              <w:rPr>
                <w:rFonts w:eastAsia="Times New Roman" w:cstheme="minorHAnsi"/>
                <w:sz w:val="22"/>
                <w:szCs w:val="22"/>
                <w:lang w:eastAsia="lv-LV"/>
              </w:rPr>
              <w:t>1</w:t>
            </w:r>
            <w:r w:rsidR="00724317" w:rsidRPr="00CE68EA">
              <w:rPr>
                <w:rFonts w:eastAsia="Times New Roman" w:cstheme="minorHAnsi"/>
                <w:sz w:val="22"/>
                <w:szCs w:val="22"/>
                <w:lang w:eastAsia="lv-LV"/>
              </w:rPr>
              <w:t> </w:t>
            </w:r>
            <w:r w:rsidRPr="00CE68EA">
              <w:rPr>
                <w:rFonts w:eastAsia="Times New Roman" w:cstheme="minorHAnsi"/>
                <w:sz w:val="22"/>
                <w:szCs w:val="22"/>
                <w:lang w:eastAsia="lv-LV"/>
              </w:rPr>
              <w:t>3</w:t>
            </w:r>
            <w:r w:rsidR="00724317" w:rsidRPr="00CE68EA">
              <w:rPr>
                <w:rFonts w:eastAsia="Times New Roman" w:cstheme="minorHAnsi"/>
                <w:sz w:val="22"/>
                <w:szCs w:val="22"/>
                <w:lang w:eastAsia="lv-LV"/>
              </w:rPr>
              <w:t>57 371</w:t>
            </w:r>
          </w:p>
        </w:tc>
        <w:tc>
          <w:tcPr>
            <w:tcW w:w="1030" w:type="dxa"/>
            <w:noWrap/>
            <w:hideMark/>
          </w:tcPr>
          <w:p w14:paraId="0AD5442F" w14:textId="09EFDEF6" w:rsidR="00304765" w:rsidRPr="00CE68EA" w:rsidRDefault="00724317"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-92 068</w:t>
            </w:r>
          </w:p>
        </w:tc>
        <w:tc>
          <w:tcPr>
            <w:tcW w:w="1032" w:type="dxa"/>
            <w:noWrap/>
            <w:hideMark/>
          </w:tcPr>
          <w:p w14:paraId="32A573AD" w14:textId="4D23EE0C" w:rsidR="00304765" w:rsidRPr="00CE68EA" w:rsidRDefault="00724317"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-6,35</w:t>
            </w:r>
            <w:r w:rsidR="00304765" w:rsidRPr="00CE68EA">
              <w:rPr>
                <w:rFonts w:eastAsia="Times New Roman" w:cstheme="minorHAnsi"/>
                <w:sz w:val="22"/>
                <w:szCs w:val="22"/>
                <w:lang w:eastAsia="lv-LV"/>
              </w:rPr>
              <w:t>%</w:t>
            </w:r>
          </w:p>
        </w:tc>
        <w:tc>
          <w:tcPr>
            <w:tcW w:w="1008" w:type="dxa"/>
            <w:noWrap/>
            <w:hideMark/>
          </w:tcPr>
          <w:p w14:paraId="10537AF5" w14:textId="54FEAF3B" w:rsidR="00304765" w:rsidRPr="00CE68EA" w:rsidRDefault="00724317"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218 988</w:t>
            </w:r>
          </w:p>
        </w:tc>
        <w:tc>
          <w:tcPr>
            <w:tcW w:w="983" w:type="dxa"/>
            <w:noWrap/>
            <w:hideMark/>
          </w:tcPr>
          <w:p w14:paraId="6DA0CAF0" w14:textId="5E6B96E7" w:rsidR="00304765" w:rsidRPr="00CE68EA" w:rsidRDefault="00724317" w:rsidP="00724317">
            <w:pPr>
              <w:spacing w:before="0"/>
              <w:jc w:val="right"/>
              <w:rPr>
                <w:rFonts w:eastAsia="Times New Roman" w:cstheme="minorHAnsi"/>
                <w:sz w:val="22"/>
                <w:szCs w:val="22"/>
                <w:lang w:eastAsia="lv-LV"/>
              </w:rPr>
            </w:pPr>
            <w:r w:rsidRPr="00CE68EA">
              <w:rPr>
                <w:rFonts w:eastAsia="Times New Roman" w:cstheme="minorHAnsi"/>
                <w:sz w:val="22"/>
                <w:szCs w:val="22"/>
                <w:lang w:eastAsia="lv-LV"/>
              </w:rPr>
              <w:t>19,24</w:t>
            </w:r>
            <w:r w:rsidR="00304765" w:rsidRPr="00CE68EA">
              <w:rPr>
                <w:rFonts w:eastAsia="Times New Roman" w:cstheme="minorHAnsi"/>
                <w:sz w:val="22"/>
                <w:szCs w:val="22"/>
                <w:lang w:eastAsia="lv-LV"/>
              </w:rPr>
              <w:t>%</w:t>
            </w:r>
          </w:p>
        </w:tc>
      </w:tr>
      <w:tr w:rsidR="00E7197A" w:rsidRPr="00CE68EA" w14:paraId="62945A44" w14:textId="77777777" w:rsidTr="0080166A">
        <w:trPr>
          <w:trHeight w:val="315"/>
        </w:trPr>
        <w:tc>
          <w:tcPr>
            <w:tcW w:w="1691" w:type="dxa"/>
            <w:hideMark/>
          </w:tcPr>
          <w:p w14:paraId="3E0A2D6C" w14:textId="77777777" w:rsidR="00304765" w:rsidRPr="00CE68EA" w:rsidRDefault="00304765" w:rsidP="00304765">
            <w:pPr>
              <w:spacing w:before="0"/>
              <w:jc w:val="right"/>
              <w:rPr>
                <w:rFonts w:eastAsia="Times New Roman" w:cstheme="minorHAnsi"/>
                <w:sz w:val="22"/>
                <w:szCs w:val="22"/>
                <w:lang w:eastAsia="lv-LV"/>
              </w:rPr>
            </w:pPr>
            <w:r w:rsidRPr="00CE68EA">
              <w:rPr>
                <w:rFonts w:eastAsia="Times New Roman" w:cstheme="minorHAnsi"/>
                <w:sz w:val="22"/>
                <w:szCs w:val="22"/>
                <w:lang w:eastAsia="lv-LV"/>
              </w:rPr>
              <w:t>Īstermiņa kreditori</w:t>
            </w:r>
          </w:p>
        </w:tc>
        <w:tc>
          <w:tcPr>
            <w:tcW w:w="1301" w:type="dxa"/>
            <w:noWrap/>
            <w:hideMark/>
          </w:tcPr>
          <w:p w14:paraId="277D5902" w14:textId="66072A51" w:rsidR="00304765" w:rsidRPr="00CE68EA" w:rsidRDefault="00724317"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611 606</w:t>
            </w:r>
          </w:p>
        </w:tc>
        <w:tc>
          <w:tcPr>
            <w:tcW w:w="1275" w:type="dxa"/>
            <w:noWrap/>
            <w:hideMark/>
          </w:tcPr>
          <w:p w14:paraId="0ECC743A" w14:textId="25103B24" w:rsidR="00304765" w:rsidRPr="00CE68EA" w:rsidRDefault="00724317"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624 277</w:t>
            </w:r>
          </w:p>
        </w:tc>
        <w:tc>
          <w:tcPr>
            <w:tcW w:w="1276" w:type="dxa"/>
            <w:noWrap/>
            <w:hideMark/>
          </w:tcPr>
          <w:p w14:paraId="54938805" w14:textId="1B2161C6" w:rsidR="00304765" w:rsidRPr="00CE68EA" w:rsidRDefault="00724317"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677 456</w:t>
            </w:r>
          </w:p>
        </w:tc>
        <w:tc>
          <w:tcPr>
            <w:tcW w:w="1030" w:type="dxa"/>
            <w:noWrap/>
            <w:hideMark/>
          </w:tcPr>
          <w:p w14:paraId="3AD61570" w14:textId="2B4CFE66" w:rsidR="00304765" w:rsidRPr="00CE68EA" w:rsidRDefault="00724317"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65 850</w:t>
            </w:r>
          </w:p>
        </w:tc>
        <w:tc>
          <w:tcPr>
            <w:tcW w:w="1032" w:type="dxa"/>
            <w:noWrap/>
            <w:hideMark/>
          </w:tcPr>
          <w:p w14:paraId="42013990" w14:textId="23E197ED" w:rsidR="00304765" w:rsidRPr="00CE68EA" w:rsidRDefault="00724317"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10,77</w:t>
            </w:r>
            <w:r w:rsidR="00304765" w:rsidRPr="00CE68EA">
              <w:rPr>
                <w:rFonts w:eastAsia="Times New Roman" w:cstheme="minorHAnsi"/>
                <w:sz w:val="22"/>
                <w:szCs w:val="22"/>
                <w:lang w:eastAsia="lv-LV"/>
              </w:rPr>
              <w:t>%</w:t>
            </w:r>
          </w:p>
        </w:tc>
        <w:tc>
          <w:tcPr>
            <w:tcW w:w="1008" w:type="dxa"/>
            <w:noWrap/>
            <w:hideMark/>
          </w:tcPr>
          <w:p w14:paraId="440A14EA" w14:textId="303DD567" w:rsidR="00304765" w:rsidRPr="00CE68EA" w:rsidRDefault="00724317" w:rsidP="00420BFD">
            <w:pPr>
              <w:spacing w:before="0"/>
              <w:jc w:val="right"/>
              <w:rPr>
                <w:rFonts w:eastAsia="Times New Roman" w:cstheme="minorHAnsi"/>
                <w:sz w:val="22"/>
                <w:szCs w:val="22"/>
                <w:lang w:eastAsia="lv-LV"/>
              </w:rPr>
            </w:pPr>
            <w:r w:rsidRPr="00CE68EA">
              <w:rPr>
                <w:rFonts w:eastAsia="Times New Roman" w:cstheme="minorHAnsi"/>
                <w:sz w:val="22"/>
                <w:szCs w:val="22"/>
                <w:lang w:eastAsia="lv-LV"/>
              </w:rPr>
              <w:t>53 179</w:t>
            </w:r>
          </w:p>
        </w:tc>
        <w:tc>
          <w:tcPr>
            <w:tcW w:w="983" w:type="dxa"/>
            <w:noWrap/>
            <w:hideMark/>
          </w:tcPr>
          <w:p w14:paraId="51D13969" w14:textId="28AA0C41" w:rsidR="00304765" w:rsidRPr="00CE68EA" w:rsidRDefault="00724317" w:rsidP="00724317">
            <w:pPr>
              <w:spacing w:before="0"/>
              <w:jc w:val="right"/>
              <w:rPr>
                <w:rFonts w:eastAsia="Times New Roman" w:cstheme="minorHAnsi"/>
                <w:sz w:val="22"/>
                <w:szCs w:val="22"/>
                <w:lang w:eastAsia="lv-LV"/>
              </w:rPr>
            </w:pPr>
            <w:r w:rsidRPr="00CE68EA">
              <w:rPr>
                <w:rFonts w:eastAsia="Times New Roman" w:cstheme="minorHAnsi"/>
                <w:sz w:val="22"/>
                <w:szCs w:val="22"/>
                <w:lang w:eastAsia="lv-LV"/>
              </w:rPr>
              <w:t>8,52</w:t>
            </w:r>
            <w:r w:rsidR="00304765" w:rsidRPr="00CE68EA">
              <w:rPr>
                <w:rFonts w:eastAsia="Times New Roman" w:cstheme="minorHAnsi"/>
                <w:sz w:val="22"/>
                <w:szCs w:val="22"/>
                <w:lang w:eastAsia="lv-LV"/>
              </w:rPr>
              <w:t>%</w:t>
            </w:r>
          </w:p>
        </w:tc>
      </w:tr>
    </w:tbl>
    <w:p w14:paraId="7BAA6E74" w14:textId="5D31EBA3" w:rsidR="00B55CFF" w:rsidRDefault="72737A92" w:rsidP="00101BE7">
      <w:pPr>
        <w:rPr>
          <w:rFonts w:eastAsia="Calibri" w:cstheme="minorHAnsi"/>
        </w:rPr>
      </w:pPr>
      <w:r w:rsidRPr="00CE68EA">
        <w:rPr>
          <w:rFonts w:eastAsia="Calibri" w:cstheme="minorHAnsi"/>
        </w:rPr>
        <w:t>Analizējot Bilances un Peļņas vai zaudējumu aprēķinu radītājus</w:t>
      </w:r>
      <w:r w:rsidR="00101BE7" w:rsidRPr="00CE68EA">
        <w:rPr>
          <w:rFonts w:eastAsia="Calibri" w:cstheme="minorHAnsi"/>
        </w:rPr>
        <w:t>,</w:t>
      </w:r>
      <w:r w:rsidRPr="00CE68EA">
        <w:rPr>
          <w:rFonts w:eastAsia="Calibri" w:cstheme="minorHAnsi"/>
        </w:rPr>
        <w:t xml:space="preserve"> secinām</w:t>
      </w:r>
      <w:r w:rsidR="00101BE7" w:rsidRPr="00CE68EA">
        <w:rPr>
          <w:rFonts w:eastAsia="Calibri" w:cstheme="minorHAnsi"/>
        </w:rPr>
        <w:t>s</w:t>
      </w:r>
      <w:r w:rsidRPr="00CE68EA">
        <w:rPr>
          <w:rFonts w:eastAsia="Calibri" w:cstheme="minorHAnsi"/>
        </w:rPr>
        <w:t>,  kā 202</w:t>
      </w:r>
      <w:r w:rsidR="00724317" w:rsidRPr="00CE68EA">
        <w:rPr>
          <w:rFonts w:eastAsia="Calibri" w:cstheme="minorHAnsi"/>
        </w:rPr>
        <w:t>5</w:t>
      </w:r>
      <w:r w:rsidRPr="00CE68EA">
        <w:rPr>
          <w:rFonts w:eastAsia="Calibri" w:cstheme="minorHAnsi"/>
        </w:rPr>
        <w:t>.gadu</w:t>
      </w:r>
      <w:r w:rsidR="00724317" w:rsidRPr="00CE68EA">
        <w:rPr>
          <w:rFonts w:eastAsia="Calibri" w:cstheme="minorHAnsi"/>
        </w:rPr>
        <w:t xml:space="preserve"> 1.cet.</w:t>
      </w:r>
      <w:r w:rsidRPr="00CE68EA">
        <w:rPr>
          <w:rFonts w:eastAsia="Calibri" w:cstheme="minorHAnsi"/>
        </w:rPr>
        <w:t xml:space="preserve">  Slimnīca  noslēdza ar bruto pelņu</w:t>
      </w:r>
      <w:r w:rsidR="00724317" w:rsidRPr="00CE68EA">
        <w:rPr>
          <w:rFonts w:eastAsia="Calibri" w:cstheme="minorHAnsi"/>
        </w:rPr>
        <w:t xml:space="preserve"> 20,1 tūkstoši EUR</w:t>
      </w:r>
      <w:r w:rsidR="00B55CFF" w:rsidRPr="00CE68EA">
        <w:rPr>
          <w:rFonts w:eastAsia="Calibri" w:cstheme="minorHAnsi"/>
        </w:rPr>
        <w:t>. Ņemot vērā, ka pārskata periods noslēdzies ar zaudējumiem, kas negatīvi ietekmējis finanšu radītājus, sabiedrība ir spējīga segt savas īstermiņa saistības, izmantojot apgrozāmos līdzekļus.</w:t>
      </w:r>
    </w:p>
    <w:p w14:paraId="7D54A717" w14:textId="086242D8" w:rsidR="00EC477E" w:rsidRPr="00CE68EA" w:rsidRDefault="00EC477E" w:rsidP="00101BE7">
      <w:pPr>
        <w:rPr>
          <w:rFonts w:eastAsia="Calibri" w:cstheme="minorHAnsi"/>
        </w:rPr>
      </w:pPr>
      <w:r>
        <w:rPr>
          <w:rFonts w:eastAsia="Calibri" w:cstheme="minorHAnsi"/>
        </w:rPr>
        <w:t xml:space="preserve">Papildus pārskata periodā ir noticis noziedzīgs darījums, kura rezultātā ir veikts krāpniecisks darījums un Slimnīca veikusi maksājumu </w:t>
      </w:r>
      <w:r w:rsidRPr="00EC477E">
        <w:rPr>
          <w:rFonts w:eastAsia="Calibri" w:cstheme="minorHAnsi"/>
        </w:rPr>
        <w:t>42</w:t>
      </w:r>
      <w:r>
        <w:rPr>
          <w:rFonts w:eastAsia="Calibri" w:cstheme="minorHAnsi"/>
        </w:rPr>
        <w:t>895,00 EUR apmērā (SEB banka). Valsts policija ir uzsākusi krimināllietu un Slimnīca turpina saraksti ar banku lietas virzīšana, lai atgūtu naudas līdzekļus. Bilancē attiecīgā summa no pozīcijas “naudas līdzekļi” pārcelta uz pozīciju “īstermiņa prasības”.</w:t>
      </w:r>
    </w:p>
    <w:p w14:paraId="0357D38F" w14:textId="5F29A89A" w:rsidR="00C912BF" w:rsidRPr="00CE68EA" w:rsidRDefault="00C4420C" w:rsidP="00101BE7">
      <w:pPr>
        <w:rPr>
          <w:rFonts w:cstheme="minorHAnsi"/>
        </w:rPr>
      </w:pPr>
      <w:r w:rsidRPr="00CE68EA">
        <w:rPr>
          <w:rFonts w:eastAsia="Calibri" w:cstheme="minorHAnsi"/>
        </w:rPr>
        <w:t>Pamatlīdzekļu vērtības samazinājums norāda uz ieguldījumu nepieciešamību.</w:t>
      </w:r>
    </w:p>
    <w:p w14:paraId="5B5BD8D5" w14:textId="77777777" w:rsidR="00C912BF" w:rsidRPr="00CE68EA" w:rsidRDefault="00C912BF" w:rsidP="00304765">
      <w:pPr>
        <w:pStyle w:val="Virsraksts2"/>
        <w:rPr>
          <w:rStyle w:val="Intensvsizclums"/>
          <w:rFonts w:cstheme="minorHAnsi"/>
          <w:b w:val="0"/>
          <w:bCs w:val="0"/>
          <w:caps/>
          <w:color w:val="auto"/>
          <w:spacing w:val="15"/>
        </w:rPr>
      </w:pPr>
      <w:r w:rsidRPr="00CE68EA">
        <w:rPr>
          <w:rStyle w:val="Intensvsizclums"/>
          <w:rFonts w:cstheme="minorHAnsi"/>
          <w:b w:val="0"/>
          <w:bCs w:val="0"/>
          <w:caps/>
          <w:color w:val="auto"/>
          <w:spacing w:val="15"/>
        </w:rPr>
        <w:t>Ieguldījumi infrastruktūrā</w:t>
      </w:r>
    </w:p>
    <w:p w14:paraId="3AB40F23" w14:textId="25A70332" w:rsidR="00E7197A" w:rsidRPr="00CE68EA" w:rsidRDefault="00C912BF" w:rsidP="00131E43">
      <w:pPr>
        <w:rPr>
          <w:rFonts w:cstheme="minorHAnsi"/>
        </w:rPr>
      </w:pPr>
      <w:r w:rsidRPr="00CE68EA">
        <w:rPr>
          <w:rFonts w:cstheme="minorHAnsi"/>
        </w:rPr>
        <w:t xml:space="preserve">Kopā Slimnīca pārskata periodā ir veikusi ilgtermiņa ieguldījumus </w:t>
      </w:r>
      <w:r w:rsidR="0080166A" w:rsidRPr="00CE68EA">
        <w:rPr>
          <w:rFonts w:cstheme="minorHAnsi"/>
        </w:rPr>
        <w:t>70</w:t>
      </w:r>
      <w:r w:rsidRPr="00CE68EA">
        <w:rPr>
          <w:rFonts w:cstheme="minorHAnsi"/>
        </w:rPr>
        <w:t xml:space="preserve"> </w:t>
      </w:r>
      <w:r w:rsidR="00E7197A" w:rsidRPr="00CE68EA">
        <w:rPr>
          <w:rFonts w:cstheme="minorHAnsi"/>
        </w:rPr>
        <w:t>tūkstošu EUR</w:t>
      </w:r>
      <w:r w:rsidRPr="00CE68EA">
        <w:rPr>
          <w:rFonts w:cstheme="minorHAnsi"/>
        </w:rPr>
        <w:t xml:space="preserve"> apmērā</w:t>
      </w:r>
      <w:r w:rsidR="00E7197A" w:rsidRPr="00CE68EA">
        <w:rPr>
          <w:rFonts w:cstheme="minorHAnsi"/>
        </w:rPr>
        <w:t xml:space="preserve">, kas ir par </w:t>
      </w:r>
      <w:r w:rsidR="0080166A" w:rsidRPr="00CE68EA">
        <w:rPr>
          <w:rFonts w:cstheme="minorHAnsi"/>
        </w:rPr>
        <w:t>70</w:t>
      </w:r>
      <w:r w:rsidR="00E7197A" w:rsidRPr="00CE68EA">
        <w:rPr>
          <w:rFonts w:cstheme="minorHAnsi"/>
        </w:rPr>
        <w:t xml:space="preserve"> tūkstošu EUR </w:t>
      </w:r>
      <w:r w:rsidR="0080166A" w:rsidRPr="00CE68EA">
        <w:rPr>
          <w:rFonts w:cstheme="minorHAnsi"/>
        </w:rPr>
        <w:t>lielāk</w:t>
      </w:r>
      <w:r w:rsidR="00E7197A" w:rsidRPr="00CE68EA">
        <w:rPr>
          <w:rFonts w:cstheme="minorHAnsi"/>
        </w:rPr>
        <w:t xml:space="preserve"> nekā tika plānots.</w:t>
      </w:r>
      <w:r w:rsidRPr="00CE68EA">
        <w:rPr>
          <w:rFonts w:cstheme="minorHAnsi"/>
        </w:rPr>
        <w:t xml:space="preserve"> </w:t>
      </w:r>
      <w:r w:rsidR="003D4191">
        <w:rPr>
          <w:rFonts w:cstheme="minorHAnsi"/>
        </w:rPr>
        <w:t xml:space="preserve">Ieguldījumi ir veikti uzņemšanas nodaļas rekonstrukcijas projekta ietvaros, kuru izdevumi tika plānoti vēlākajos pārskata periodos. </w:t>
      </w:r>
    </w:p>
    <w:p w14:paraId="12D5FF2F" w14:textId="363F6FE2" w:rsidR="00C912BF" w:rsidRPr="00CE68EA" w:rsidRDefault="00C912BF" w:rsidP="00E7197A">
      <w:pPr>
        <w:pStyle w:val="Virsraksts1"/>
        <w:rPr>
          <w:rStyle w:val="Intensvsizclums"/>
          <w:rFonts w:cstheme="minorHAnsi"/>
          <w:b w:val="0"/>
          <w:bCs w:val="0"/>
          <w:caps/>
          <w:color w:val="FFFFFF" w:themeColor="background1"/>
          <w:spacing w:val="15"/>
        </w:rPr>
      </w:pPr>
      <w:r w:rsidRPr="00CE68EA">
        <w:rPr>
          <w:rStyle w:val="Intensvsizclums"/>
          <w:rFonts w:cstheme="minorHAnsi"/>
          <w:b w:val="0"/>
          <w:bCs w:val="0"/>
          <w:caps/>
          <w:color w:val="FFFFFF" w:themeColor="background1"/>
          <w:spacing w:val="15"/>
        </w:rPr>
        <w:t>Informācija par personālu</w:t>
      </w:r>
    </w:p>
    <w:p w14:paraId="36AB649F" w14:textId="77777777" w:rsidR="00C912BF" w:rsidRPr="00CE68EA" w:rsidRDefault="00C912BF" w:rsidP="00E7197A">
      <w:pPr>
        <w:pStyle w:val="Virsraksts2"/>
        <w:rPr>
          <w:rFonts w:cstheme="minorHAnsi"/>
          <w:color w:val="FF0000"/>
        </w:rPr>
      </w:pPr>
      <w:r w:rsidRPr="00CE68EA">
        <w:rPr>
          <w:rFonts w:cstheme="minorHAnsi"/>
        </w:rPr>
        <w:t>Darbinieku skaitliskais sastāvs</w:t>
      </w:r>
    </w:p>
    <w:p w14:paraId="591E4586" w14:textId="30395873" w:rsidR="00E7197A" w:rsidRPr="00CE68EA" w:rsidRDefault="00D04156" w:rsidP="00131E43">
      <w:pPr>
        <w:rPr>
          <w:rFonts w:cstheme="minorHAnsi"/>
        </w:rPr>
      </w:pPr>
      <w:r w:rsidRPr="00CE68EA">
        <w:rPr>
          <w:rFonts w:cstheme="minorHAnsi"/>
        </w:rPr>
        <w:t>Informācija par Slimnīcas darbinieku skaitu:</w:t>
      </w:r>
    </w:p>
    <w:tbl>
      <w:tblPr>
        <w:tblStyle w:val="Reatabula1gaia-izclums2"/>
        <w:tblW w:w="9500" w:type="dxa"/>
        <w:tblLayout w:type="fixed"/>
        <w:tblLook w:val="0460" w:firstRow="1" w:lastRow="1" w:firstColumn="0" w:lastColumn="0" w:noHBand="0" w:noVBand="1"/>
      </w:tblPr>
      <w:tblGrid>
        <w:gridCol w:w="2967"/>
        <w:gridCol w:w="992"/>
        <w:gridCol w:w="1134"/>
        <w:gridCol w:w="993"/>
        <w:gridCol w:w="850"/>
        <w:gridCol w:w="997"/>
        <w:gridCol w:w="647"/>
        <w:gridCol w:w="920"/>
      </w:tblGrid>
      <w:tr w:rsidR="00101BE7" w:rsidRPr="00CE68EA" w14:paraId="76784A11" w14:textId="77777777" w:rsidTr="00501A62">
        <w:trPr>
          <w:cnfStyle w:val="100000000000" w:firstRow="1" w:lastRow="0" w:firstColumn="0" w:lastColumn="0" w:oddVBand="0" w:evenVBand="0" w:oddHBand="0" w:evenHBand="0" w:firstRowFirstColumn="0" w:firstRowLastColumn="0" w:lastRowFirstColumn="0" w:lastRowLastColumn="0"/>
          <w:trHeight w:val="300"/>
          <w:tblHeader/>
        </w:trPr>
        <w:tc>
          <w:tcPr>
            <w:tcW w:w="2967" w:type="dxa"/>
            <w:vMerge w:val="restart"/>
            <w:hideMark/>
          </w:tcPr>
          <w:p w14:paraId="74624863" w14:textId="77777777" w:rsidR="00D04156" w:rsidRPr="00CE68EA" w:rsidRDefault="00D04156" w:rsidP="00D04156">
            <w:pPr>
              <w:spacing w:before="0"/>
              <w:jc w:val="center"/>
              <w:rPr>
                <w:rFonts w:eastAsia="Times New Roman" w:cstheme="minorHAnsi"/>
                <w:b w:val="0"/>
                <w:bCs w:val="0"/>
                <w:sz w:val="22"/>
                <w:szCs w:val="22"/>
                <w:lang w:eastAsia="lv-LV"/>
              </w:rPr>
            </w:pPr>
            <w:r w:rsidRPr="00CE68EA">
              <w:rPr>
                <w:rFonts w:eastAsia="Times New Roman" w:cstheme="minorHAnsi"/>
                <w:sz w:val="22"/>
                <w:szCs w:val="22"/>
                <w:lang w:eastAsia="lv-LV"/>
              </w:rPr>
              <w:t>Nosaukums/ Mērvienība</w:t>
            </w:r>
          </w:p>
        </w:tc>
        <w:tc>
          <w:tcPr>
            <w:tcW w:w="992" w:type="dxa"/>
            <w:vMerge w:val="restart"/>
            <w:hideMark/>
          </w:tcPr>
          <w:p w14:paraId="797FFCD1" w14:textId="53864778" w:rsidR="00D04156" w:rsidRPr="00CE68EA" w:rsidRDefault="00D04156" w:rsidP="007A244D">
            <w:pPr>
              <w:spacing w:before="0"/>
              <w:jc w:val="center"/>
              <w:rPr>
                <w:rFonts w:eastAsia="Times New Roman" w:cstheme="minorHAnsi"/>
                <w:b w:val="0"/>
                <w:bCs w:val="0"/>
                <w:sz w:val="22"/>
                <w:szCs w:val="22"/>
                <w:lang w:eastAsia="lv-LV"/>
              </w:rPr>
            </w:pPr>
            <w:r w:rsidRPr="00CE68EA">
              <w:rPr>
                <w:rFonts w:eastAsia="Times New Roman" w:cstheme="minorHAnsi"/>
                <w:sz w:val="22"/>
                <w:szCs w:val="22"/>
                <w:lang w:eastAsia="lv-LV"/>
              </w:rPr>
              <w:t>Izpilde 202</w:t>
            </w:r>
            <w:r w:rsidR="003C552F" w:rsidRPr="00CE68EA">
              <w:rPr>
                <w:rFonts w:eastAsia="Times New Roman" w:cstheme="minorHAnsi"/>
                <w:sz w:val="22"/>
                <w:szCs w:val="22"/>
                <w:lang w:eastAsia="lv-LV"/>
              </w:rPr>
              <w:t>4</w:t>
            </w:r>
            <w:r w:rsidRPr="00CE68EA">
              <w:rPr>
                <w:rFonts w:eastAsia="Times New Roman" w:cstheme="minorHAnsi"/>
                <w:sz w:val="22"/>
                <w:szCs w:val="22"/>
                <w:lang w:eastAsia="lv-LV"/>
              </w:rPr>
              <w:t>. g</w:t>
            </w:r>
            <w:r w:rsidR="007A244D" w:rsidRPr="00CE68EA">
              <w:rPr>
                <w:rFonts w:eastAsia="Times New Roman" w:cstheme="minorHAnsi"/>
                <w:sz w:val="22"/>
                <w:szCs w:val="22"/>
                <w:lang w:eastAsia="lv-LV"/>
              </w:rPr>
              <w:t>. 1.cet.</w:t>
            </w:r>
          </w:p>
        </w:tc>
        <w:tc>
          <w:tcPr>
            <w:tcW w:w="1134" w:type="dxa"/>
            <w:vMerge w:val="restart"/>
            <w:hideMark/>
          </w:tcPr>
          <w:p w14:paraId="3E12CBB2" w14:textId="3C151089" w:rsidR="00D04156" w:rsidRPr="00CE68EA" w:rsidRDefault="00D04156" w:rsidP="003C552F">
            <w:pPr>
              <w:spacing w:before="0"/>
              <w:jc w:val="center"/>
              <w:rPr>
                <w:rFonts w:eastAsia="Times New Roman" w:cstheme="minorHAnsi"/>
                <w:b w:val="0"/>
                <w:bCs w:val="0"/>
                <w:sz w:val="22"/>
                <w:szCs w:val="22"/>
                <w:lang w:eastAsia="lv-LV"/>
              </w:rPr>
            </w:pPr>
            <w:r w:rsidRPr="00CE68EA">
              <w:rPr>
                <w:rFonts w:eastAsia="Times New Roman" w:cstheme="minorHAnsi"/>
                <w:sz w:val="22"/>
                <w:szCs w:val="22"/>
                <w:lang w:eastAsia="lv-LV"/>
              </w:rPr>
              <w:t>Plāns 202</w:t>
            </w:r>
            <w:r w:rsidR="003C552F" w:rsidRPr="00CE68EA">
              <w:rPr>
                <w:rFonts w:eastAsia="Times New Roman" w:cstheme="minorHAnsi"/>
                <w:sz w:val="22"/>
                <w:szCs w:val="22"/>
                <w:lang w:eastAsia="lv-LV"/>
              </w:rPr>
              <w:t>5</w:t>
            </w:r>
            <w:r w:rsidRPr="00CE68EA">
              <w:rPr>
                <w:rFonts w:eastAsia="Times New Roman" w:cstheme="minorHAnsi"/>
                <w:sz w:val="22"/>
                <w:szCs w:val="22"/>
                <w:lang w:eastAsia="lv-LV"/>
              </w:rPr>
              <w:t>. gada</w:t>
            </w:r>
            <w:r w:rsidR="00501A62" w:rsidRPr="00CE68EA">
              <w:rPr>
                <w:rFonts w:eastAsia="Times New Roman" w:cstheme="minorHAnsi"/>
                <w:sz w:val="22"/>
                <w:szCs w:val="22"/>
                <w:lang w:eastAsia="lv-LV"/>
              </w:rPr>
              <w:t xml:space="preserve"> 1.cet.</w:t>
            </w:r>
          </w:p>
        </w:tc>
        <w:tc>
          <w:tcPr>
            <w:tcW w:w="993" w:type="dxa"/>
            <w:vMerge w:val="restart"/>
            <w:hideMark/>
          </w:tcPr>
          <w:p w14:paraId="721D498C" w14:textId="064910C5" w:rsidR="00D04156" w:rsidRPr="00CE68EA" w:rsidRDefault="00D04156" w:rsidP="003C552F">
            <w:pPr>
              <w:spacing w:before="0"/>
              <w:jc w:val="center"/>
              <w:rPr>
                <w:rFonts w:eastAsia="Times New Roman" w:cstheme="minorHAnsi"/>
                <w:b w:val="0"/>
                <w:bCs w:val="0"/>
                <w:sz w:val="22"/>
                <w:szCs w:val="22"/>
                <w:lang w:eastAsia="lv-LV"/>
              </w:rPr>
            </w:pPr>
            <w:r w:rsidRPr="00CE68EA">
              <w:rPr>
                <w:rFonts w:eastAsia="Times New Roman" w:cstheme="minorHAnsi"/>
                <w:sz w:val="22"/>
                <w:szCs w:val="22"/>
                <w:lang w:eastAsia="lv-LV"/>
              </w:rPr>
              <w:t>Izpilde 202</w:t>
            </w:r>
            <w:r w:rsidR="003C552F" w:rsidRPr="00CE68EA">
              <w:rPr>
                <w:rFonts w:eastAsia="Times New Roman" w:cstheme="minorHAnsi"/>
                <w:sz w:val="22"/>
                <w:szCs w:val="22"/>
                <w:lang w:eastAsia="lv-LV"/>
              </w:rPr>
              <w:t>5</w:t>
            </w:r>
            <w:r w:rsidRPr="00CE68EA">
              <w:rPr>
                <w:rFonts w:eastAsia="Times New Roman" w:cstheme="minorHAnsi"/>
                <w:sz w:val="22"/>
                <w:szCs w:val="22"/>
                <w:lang w:eastAsia="lv-LV"/>
              </w:rPr>
              <w:t>. gada</w:t>
            </w:r>
            <w:r w:rsidR="00501A62" w:rsidRPr="00CE68EA">
              <w:rPr>
                <w:rFonts w:eastAsia="Times New Roman" w:cstheme="minorHAnsi"/>
                <w:sz w:val="22"/>
                <w:szCs w:val="22"/>
                <w:lang w:eastAsia="lv-LV"/>
              </w:rPr>
              <w:t xml:space="preserve"> 1.cet.</w:t>
            </w:r>
          </w:p>
        </w:tc>
        <w:tc>
          <w:tcPr>
            <w:tcW w:w="1847" w:type="dxa"/>
            <w:gridSpan w:val="2"/>
            <w:hideMark/>
          </w:tcPr>
          <w:p w14:paraId="689B708D" w14:textId="6988B632" w:rsidR="00D04156" w:rsidRPr="00CE68EA" w:rsidRDefault="00501A62" w:rsidP="00D04156">
            <w:pPr>
              <w:spacing w:before="0"/>
              <w:jc w:val="center"/>
              <w:rPr>
                <w:rFonts w:eastAsia="Times New Roman" w:cstheme="minorHAnsi"/>
                <w:b w:val="0"/>
                <w:bCs w:val="0"/>
                <w:sz w:val="22"/>
                <w:szCs w:val="22"/>
                <w:lang w:eastAsia="lv-LV"/>
              </w:rPr>
            </w:pPr>
            <w:r w:rsidRPr="00CE68EA">
              <w:rPr>
                <w:rFonts w:eastAsia="Times New Roman" w:cstheme="minorHAnsi"/>
                <w:sz w:val="22"/>
                <w:szCs w:val="22"/>
                <w:lang w:eastAsia="lv-LV"/>
              </w:rPr>
              <w:t>Novirze pret 2024</w:t>
            </w:r>
            <w:r w:rsidR="00D04156" w:rsidRPr="00CE68EA">
              <w:rPr>
                <w:rFonts w:eastAsia="Times New Roman" w:cstheme="minorHAnsi"/>
                <w:sz w:val="22"/>
                <w:szCs w:val="22"/>
                <w:lang w:eastAsia="lv-LV"/>
              </w:rPr>
              <w:t>.gadu</w:t>
            </w:r>
            <w:r w:rsidRPr="00CE68EA">
              <w:rPr>
                <w:rFonts w:eastAsia="Times New Roman" w:cstheme="minorHAnsi"/>
                <w:sz w:val="22"/>
                <w:szCs w:val="22"/>
                <w:lang w:eastAsia="lv-LV"/>
              </w:rPr>
              <w:t xml:space="preserve"> 1.cet.</w:t>
            </w:r>
          </w:p>
        </w:tc>
        <w:tc>
          <w:tcPr>
            <w:tcW w:w="1567" w:type="dxa"/>
            <w:gridSpan w:val="2"/>
            <w:hideMark/>
          </w:tcPr>
          <w:p w14:paraId="2E39B242" w14:textId="0F0C97EC" w:rsidR="00D04156" w:rsidRPr="00CE68EA" w:rsidRDefault="00D04156" w:rsidP="00501A62">
            <w:pPr>
              <w:spacing w:before="0"/>
              <w:jc w:val="center"/>
              <w:rPr>
                <w:rFonts w:eastAsia="Times New Roman" w:cstheme="minorHAnsi"/>
                <w:b w:val="0"/>
                <w:bCs w:val="0"/>
                <w:sz w:val="22"/>
                <w:szCs w:val="22"/>
                <w:lang w:eastAsia="lv-LV"/>
              </w:rPr>
            </w:pPr>
            <w:r w:rsidRPr="00CE68EA">
              <w:rPr>
                <w:rFonts w:eastAsia="Times New Roman" w:cstheme="minorHAnsi"/>
                <w:sz w:val="22"/>
                <w:szCs w:val="22"/>
                <w:lang w:eastAsia="lv-LV"/>
              </w:rPr>
              <w:t>Novirze pret 202</w:t>
            </w:r>
            <w:r w:rsidR="00501A62" w:rsidRPr="00CE68EA">
              <w:rPr>
                <w:rFonts w:eastAsia="Times New Roman" w:cstheme="minorHAnsi"/>
                <w:sz w:val="22"/>
                <w:szCs w:val="22"/>
                <w:lang w:eastAsia="lv-LV"/>
              </w:rPr>
              <w:t>5</w:t>
            </w:r>
            <w:r w:rsidRPr="00CE68EA">
              <w:rPr>
                <w:rFonts w:eastAsia="Times New Roman" w:cstheme="minorHAnsi"/>
                <w:sz w:val="22"/>
                <w:szCs w:val="22"/>
                <w:lang w:eastAsia="lv-LV"/>
              </w:rPr>
              <w:t>.gadu</w:t>
            </w:r>
            <w:r w:rsidR="00501A62" w:rsidRPr="00CE68EA">
              <w:rPr>
                <w:rFonts w:eastAsia="Times New Roman" w:cstheme="minorHAnsi"/>
                <w:sz w:val="22"/>
                <w:szCs w:val="22"/>
                <w:lang w:eastAsia="lv-LV"/>
              </w:rPr>
              <w:t xml:space="preserve"> 1.cet. plānu</w:t>
            </w:r>
          </w:p>
        </w:tc>
      </w:tr>
      <w:tr w:rsidR="00101BE7" w:rsidRPr="00CE68EA" w14:paraId="0DDCC246" w14:textId="77777777" w:rsidTr="00501A62">
        <w:trPr>
          <w:cnfStyle w:val="100000000000" w:firstRow="1" w:lastRow="0" w:firstColumn="0" w:lastColumn="0" w:oddVBand="0" w:evenVBand="0" w:oddHBand="0" w:evenHBand="0" w:firstRowFirstColumn="0" w:firstRowLastColumn="0" w:lastRowFirstColumn="0" w:lastRowLastColumn="0"/>
          <w:trHeight w:val="315"/>
          <w:tblHeader/>
        </w:trPr>
        <w:tc>
          <w:tcPr>
            <w:tcW w:w="2967" w:type="dxa"/>
            <w:vMerge/>
            <w:hideMark/>
          </w:tcPr>
          <w:p w14:paraId="7FBE61F0" w14:textId="77777777" w:rsidR="00D04156" w:rsidRPr="00CE68EA" w:rsidRDefault="00D04156" w:rsidP="00D04156">
            <w:pPr>
              <w:spacing w:before="0"/>
              <w:jc w:val="left"/>
              <w:rPr>
                <w:rFonts w:eastAsia="Times New Roman" w:cstheme="minorHAnsi"/>
                <w:b w:val="0"/>
                <w:bCs w:val="0"/>
                <w:sz w:val="22"/>
                <w:szCs w:val="22"/>
                <w:lang w:eastAsia="lv-LV"/>
              </w:rPr>
            </w:pPr>
          </w:p>
        </w:tc>
        <w:tc>
          <w:tcPr>
            <w:tcW w:w="992" w:type="dxa"/>
            <w:vMerge/>
            <w:hideMark/>
          </w:tcPr>
          <w:p w14:paraId="45C02674" w14:textId="77777777" w:rsidR="00D04156" w:rsidRPr="00CE68EA" w:rsidRDefault="00D04156" w:rsidP="00D04156">
            <w:pPr>
              <w:spacing w:before="0"/>
              <w:jc w:val="left"/>
              <w:rPr>
                <w:rFonts w:eastAsia="Times New Roman" w:cstheme="minorHAnsi"/>
                <w:b w:val="0"/>
                <w:bCs w:val="0"/>
                <w:sz w:val="22"/>
                <w:szCs w:val="22"/>
                <w:lang w:eastAsia="lv-LV"/>
              </w:rPr>
            </w:pPr>
          </w:p>
        </w:tc>
        <w:tc>
          <w:tcPr>
            <w:tcW w:w="1134" w:type="dxa"/>
            <w:vMerge/>
            <w:hideMark/>
          </w:tcPr>
          <w:p w14:paraId="77900A20" w14:textId="77777777" w:rsidR="00D04156" w:rsidRPr="00CE68EA" w:rsidRDefault="00D04156" w:rsidP="00D04156">
            <w:pPr>
              <w:spacing w:before="0"/>
              <w:jc w:val="left"/>
              <w:rPr>
                <w:rFonts w:eastAsia="Times New Roman" w:cstheme="minorHAnsi"/>
                <w:b w:val="0"/>
                <w:bCs w:val="0"/>
                <w:sz w:val="22"/>
                <w:szCs w:val="22"/>
                <w:lang w:eastAsia="lv-LV"/>
              </w:rPr>
            </w:pPr>
          </w:p>
        </w:tc>
        <w:tc>
          <w:tcPr>
            <w:tcW w:w="993" w:type="dxa"/>
            <w:vMerge/>
            <w:hideMark/>
          </w:tcPr>
          <w:p w14:paraId="6BE17398" w14:textId="77777777" w:rsidR="00D04156" w:rsidRPr="00CE68EA" w:rsidRDefault="00D04156" w:rsidP="00D04156">
            <w:pPr>
              <w:spacing w:before="0"/>
              <w:jc w:val="left"/>
              <w:rPr>
                <w:rFonts w:eastAsia="Times New Roman" w:cstheme="minorHAnsi"/>
                <w:b w:val="0"/>
                <w:bCs w:val="0"/>
                <w:sz w:val="22"/>
                <w:szCs w:val="22"/>
                <w:lang w:eastAsia="lv-LV"/>
              </w:rPr>
            </w:pPr>
          </w:p>
        </w:tc>
        <w:tc>
          <w:tcPr>
            <w:tcW w:w="850" w:type="dxa"/>
            <w:hideMark/>
          </w:tcPr>
          <w:p w14:paraId="431C85BB" w14:textId="36F4C0A5" w:rsidR="00D04156" w:rsidRPr="00CE68EA" w:rsidRDefault="00D04156" w:rsidP="00D04156">
            <w:pPr>
              <w:spacing w:before="0"/>
              <w:jc w:val="center"/>
              <w:rPr>
                <w:rFonts w:eastAsia="Times New Roman" w:cstheme="minorHAnsi"/>
                <w:b w:val="0"/>
                <w:bCs w:val="0"/>
                <w:sz w:val="22"/>
                <w:szCs w:val="22"/>
                <w:lang w:eastAsia="lv-LV"/>
              </w:rPr>
            </w:pPr>
            <w:r w:rsidRPr="00CE68EA">
              <w:rPr>
                <w:rFonts w:eastAsia="Times New Roman" w:cstheme="minorHAnsi"/>
                <w:sz w:val="22"/>
                <w:szCs w:val="22"/>
                <w:lang w:eastAsia="lv-LV"/>
              </w:rPr>
              <w:t>skaits</w:t>
            </w:r>
          </w:p>
        </w:tc>
        <w:tc>
          <w:tcPr>
            <w:tcW w:w="997" w:type="dxa"/>
            <w:hideMark/>
          </w:tcPr>
          <w:p w14:paraId="384325FC" w14:textId="77777777" w:rsidR="00D04156" w:rsidRPr="00CE68EA" w:rsidRDefault="00D04156" w:rsidP="00D04156">
            <w:pPr>
              <w:spacing w:before="0"/>
              <w:jc w:val="center"/>
              <w:rPr>
                <w:rFonts w:eastAsia="Times New Roman" w:cstheme="minorHAnsi"/>
                <w:b w:val="0"/>
                <w:bCs w:val="0"/>
                <w:sz w:val="22"/>
                <w:szCs w:val="22"/>
                <w:lang w:eastAsia="lv-LV"/>
              </w:rPr>
            </w:pPr>
            <w:r w:rsidRPr="00CE68EA">
              <w:rPr>
                <w:rFonts w:eastAsia="Times New Roman" w:cstheme="minorHAnsi"/>
                <w:sz w:val="22"/>
                <w:szCs w:val="22"/>
                <w:lang w:eastAsia="lv-LV"/>
              </w:rPr>
              <w:t>%</w:t>
            </w:r>
          </w:p>
        </w:tc>
        <w:tc>
          <w:tcPr>
            <w:tcW w:w="647" w:type="dxa"/>
            <w:hideMark/>
          </w:tcPr>
          <w:p w14:paraId="0315003A" w14:textId="2CB7A15C" w:rsidR="00D04156" w:rsidRPr="00CE68EA" w:rsidRDefault="00D04156" w:rsidP="00D04156">
            <w:pPr>
              <w:spacing w:before="0"/>
              <w:jc w:val="center"/>
              <w:rPr>
                <w:rFonts w:eastAsia="Times New Roman" w:cstheme="minorHAnsi"/>
                <w:b w:val="0"/>
                <w:bCs w:val="0"/>
                <w:sz w:val="22"/>
                <w:szCs w:val="22"/>
                <w:lang w:eastAsia="lv-LV"/>
              </w:rPr>
            </w:pPr>
            <w:r w:rsidRPr="00CE68EA">
              <w:rPr>
                <w:rFonts w:eastAsia="Times New Roman" w:cstheme="minorHAnsi"/>
                <w:sz w:val="22"/>
                <w:szCs w:val="22"/>
                <w:lang w:eastAsia="lv-LV"/>
              </w:rPr>
              <w:t>skaits</w:t>
            </w:r>
          </w:p>
        </w:tc>
        <w:tc>
          <w:tcPr>
            <w:tcW w:w="920" w:type="dxa"/>
            <w:hideMark/>
          </w:tcPr>
          <w:p w14:paraId="57B67614" w14:textId="77777777" w:rsidR="00D04156" w:rsidRPr="00CE68EA" w:rsidRDefault="00D04156" w:rsidP="00D04156">
            <w:pPr>
              <w:spacing w:before="0"/>
              <w:jc w:val="center"/>
              <w:rPr>
                <w:rFonts w:eastAsia="Times New Roman" w:cstheme="minorHAnsi"/>
                <w:b w:val="0"/>
                <w:bCs w:val="0"/>
                <w:sz w:val="22"/>
                <w:szCs w:val="22"/>
                <w:lang w:eastAsia="lv-LV"/>
              </w:rPr>
            </w:pPr>
            <w:r w:rsidRPr="00CE68EA">
              <w:rPr>
                <w:rFonts w:eastAsia="Times New Roman" w:cstheme="minorHAnsi"/>
                <w:sz w:val="22"/>
                <w:szCs w:val="22"/>
                <w:lang w:eastAsia="lv-LV"/>
              </w:rPr>
              <w:t>%</w:t>
            </w:r>
          </w:p>
        </w:tc>
      </w:tr>
      <w:tr w:rsidR="00D04156" w:rsidRPr="00CE68EA" w14:paraId="3E3F81C9" w14:textId="77777777" w:rsidTr="00501A62">
        <w:trPr>
          <w:trHeight w:val="315"/>
        </w:trPr>
        <w:tc>
          <w:tcPr>
            <w:tcW w:w="2967" w:type="dxa"/>
            <w:hideMark/>
          </w:tcPr>
          <w:p w14:paraId="6915BC36" w14:textId="10FDB096" w:rsidR="00D04156" w:rsidRPr="00CE68EA" w:rsidRDefault="00D04156" w:rsidP="00DD6EFE">
            <w:pPr>
              <w:spacing w:before="0"/>
              <w:jc w:val="left"/>
              <w:rPr>
                <w:rFonts w:eastAsia="Times New Roman" w:cstheme="minorHAnsi"/>
                <w:sz w:val="22"/>
                <w:szCs w:val="22"/>
                <w:lang w:eastAsia="lv-LV"/>
              </w:rPr>
            </w:pPr>
            <w:r w:rsidRPr="00CE68EA">
              <w:rPr>
                <w:rFonts w:eastAsia="Times New Roman" w:cstheme="minorHAnsi"/>
                <w:sz w:val="22"/>
                <w:szCs w:val="22"/>
                <w:lang w:eastAsia="lv-LV"/>
              </w:rPr>
              <w:t>Ārsti un funkcionālie speciālisti</w:t>
            </w:r>
          </w:p>
        </w:tc>
        <w:tc>
          <w:tcPr>
            <w:tcW w:w="992" w:type="dxa"/>
            <w:noWrap/>
            <w:hideMark/>
          </w:tcPr>
          <w:p w14:paraId="01E25A15" w14:textId="77777777" w:rsidR="00D04156" w:rsidRPr="00CE68EA" w:rsidRDefault="00D04156" w:rsidP="00D04156">
            <w:pPr>
              <w:spacing w:before="0"/>
              <w:jc w:val="right"/>
              <w:rPr>
                <w:rFonts w:eastAsia="Times New Roman" w:cstheme="minorHAnsi"/>
                <w:sz w:val="22"/>
                <w:szCs w:val="22"/>
                <w:lang w:eastAsia="lv-LV"/>
              </w:rPr>
            </w:pPr>
            <w:r w:rsidRPr="00CE68EA">
              <w:rPr>
                <w:rFonts w:eastAsia="Times New Roman" w:cstheme="minorHAnsi"/>
                <w:sz w:val="22"/>
                <w:szCs w:val="22"/>
                <w:lang w:eastAsia="lv-LV"/>
              </w:rPr>
              <w:t>27.0</w:t>
            </w:r>
          </w:p>
        </w:tc>
        <w:tc>
          <w:tcPr>
            <w:tcW w:w="1134" w:type="dxa"/>
            <w:noWrap/>
            <w:hideMark/>
          </w:tcPr>
          <w:p w14:paraId="63A691C5" w14:textId="33875518" w:rsidR="00D04156" w:rsidRPr="00CE68EA" w:rsidRDefault="00501A62" w:rsidP="00D04156">
            <w:pPr>
              <w:spacing w:before="0"/>
              <w:jc w:val="right"/>
              <w:rPr>
                <w:rFonts w:eastAsia="Times New Roman" w:cstheme="minorHAnsi"/>
                <w:sz w:val="22"/>
                <w:szCs w:val="22"/>
                <w:lang w:eastAsia="lv-LV"/>
              </w:rPr>
            </w:pPr>
            <w:r w:rsidRPr="00CE68EA">
              <w:rPr>
                <w:rFonts w:eastAsia="Times New Roman" w:cstheme="minorHAnsi"/>
                <w:sz w:val="22"/>
                <w:szCs w:val="22"/>
                <w:lang w:eastAsia="lv-LV"/>
              </w:rPr>
              <w:t>29</w:t>
            </w:r>
            <w:r w:rsidR="00D04156" w:rsidRPr="00CE68EA">
              <w:rPr>
                <w:rFonts w:eastAsia="Times New Roman" w:cstheme="minorHAnsi"/>
                <w:sz w:val="22"/>
                <w:szCs w:val="22"/>
                <w:lang w:eastAsia="lv-LV"/>
              </w:rPr>
              <w:t>.0</w:t>
            </w:r>
          </w:p>
        </w:tc>
        <w:tc>
          <w:tcPr>
            <w:tcW w:w="993" w:type="dxa"/>
            <w:noWrap/>
            <w:hideMark/>
          </w:tcPr>
          <w:p w14:paraId="083330FA" w14:textId="7812AFB6" w:rsidR="00D04156" w:rsidRPr="00CE68EA" w:rsidRDefault="00501A62" w:rsidP="00D04156">
            <w:pPr>
              <w:spacing w:before="0"/>
              <w:jc w:val="right"/>
              <w:rPr>
                <w:rFonts w:eastAsia="Times New Roman" w:cstheme="minorHAnsi"/>
                <w:sz w:val="22"/>
                <w:szCs w:val="22"/>
                <w:lang w:eastAsia="lv-LV"/>
              </w:rPr>
            </w:pPr>
            <w:r w:rsidRPr="00CE68EA">
              <w:rPr>
                <w:rFonts w:eastAsia="Times New Roman" w:cstheme="minorHAnsi"/>
                <w:sz w:val="22"/>
                <w:szCs w:val="22"/>
                <w:lang w:eastAsia="lv-LV"/>
              </w:rPr>
              <w:t>29</w:t>
            </w:r>
            <w:r w:rsidR="00D04156" w:rsidRPr="00CE68EA">
              <w:rPr>
                <w:rFonts w:eastAsia="Times New Roman" w:cstheme="minorHAnsi"/>
                <w:sz w:val="22"/>
                <w:szCs w:val="22"/>
                <w:lang w:eastAsia="lv-LV"/>
              </w:rPr>
              <w:t>.0</w:t>
            </w:r>
          </w:p>
        </w:tc>
        <w:tc>
          <w:tcPr>
            <w:tcW w:w="850" w:type="dxa"/>
            <w:noWrap/>
            <w:hideMark/>
          </w:tcPr>
          <w:p w14:paraId="2EEA9B59" w14:textId="0A09DE7C" w:rsidR="00D04156" w:rsidRPr="00CE68EA" w:rsidRDefault="00501A62" w:rsidP="00D04156">
            <w:pPr>
              <w:spacing w:before="0"/>
              <w:jc w:val="right"/>
              <w:rPr>
                <w:rFonts w:eastAsia="Times New Roman" w:cstheme="minorHAnsi"/>
                <w:sz w:val="22"/>
                <w:szCs w:val="22"/>
                <w:lang w:eastAsia="lv-LV"/>
              </w:rPr>
            </w:pPr>
            <w:r w:rsidRPr="00CE68EA">
              <w:rPr>
                <w:rFonts w:eastAsia="Times New Roman" w:cstheme="minorHAnsi"/>
                <w:sz w:val="22"/>
                <w:szCs w:val="22"/>
                <w:lang w:eastAsia="lv-LV"/>
              </w:rPr>
              <w:t>2,0</w:t>
            </w:r>
          </w:p>
        </w:tc>
        <w:tc>
          <w:tcPr>
            <w:tcW w:w="997" w:type="dxa"/>
            <w:noWrap/>
            <w:hideMark/>
          </w:tcPr>
          <w:p w14:paraId="79566578" w14:textId="657C913C" w:rsidR="00D04156" w:rsidRPr="00CE68EA" w:rsidRDefault="00501A62" w:rsidP="00D04156">
            <w:pPr>
              <w:spacing w:before="0"/>
              <w:jc w:val="center"/>
              <w:rPr>
                <w:rFonts w:eastAsia="Times New Roman" w:cstheme="minorHAnsi"/>
                <w:sz w:val="22"/>
                <w:szCs w:val="22"/>
                <w:lang w:eastAsia="lv-LV"/>
              </w:rPr>
            </w:pPr>
            <w:r w:rsidRPr="00CE68EA">
              <w:rPr>
                <w:rFonts w:eastAsia="Times New Roman" w:cstheme="minorHAnsi"/>
                <w:sz w:val="22"/>
                <w:szCs w:val="22"/>
                <w:lang w:eastAsia="lv-LV"/>
              </w:rPr>
              <w:t>7,41</w:t>
            </w:r>
            <w:r w:rsidR="00D04156" w:rsidRPr="00CE68EA">
              <w:rPr>
                <w:rFonts w:eastAsia="Times New Roman" w:cstheme="minorHAnsi"/>
                <w:sz w:val="22"/>
                <w:szCs w:val="22"/>
                <w:lang w:eastAsia="lv-LV"/>
              </w:rPr>
              <w:t>%</w:t>
            </w:r>
          </w:p>
        </w:tc>
        <w:tc>
          <w:tcPr>
            <w:tcW w:w="647" w:type="dxa"/>
            <w:noWrap/>
            <w:hideMark/>
          </w:tcPr>
          <w:p w14:paraId="027F9905" w14:textId="08E12476" w:rsidR="00D04156" w:rsidRPr="00CE68EA" w:rsidRDefault="00501A62" w:rsidP="00D04156">
            <w:pPr>
              <w:spacing w:before="0"/>
              <w:jc w:val="right"/>
              <w:rPr>
                <w:rFonts w:eastAsia="Times New Roman" w:cstheme="minorHAnsi"/>
                <w:sz w:val="22"/>
                <w:szCs w:val="22"/>
                <w:lang w:eastAsia="lv-LV"/>
              </w:rPr>
            </w:pPr>
            <w:r w:rsidRPr="00CE68EA">
              <w:rPr>
                <w:rFonts w:eastAsia="Times New Roman" w:cstheme="minorHAnsi"/>
                <w:sz w:val="22"/>
                <w:szCs w:val="22"/>
                <w:lang w:eastAsia="lv-LV"/>
              </w:rPr>
              <w:t>0</w:t>
            </w:r>
            <w:r w:rsidR="00D04156" w:rsidRPr="00CE68EA">
              <w:rPr>
                <w:rFonts w:eastAsia="Times New Roman" w:cstheme="minorHAnsi"/>
                <w:sz w:val="22"/>
                <w:szCs w:val="22"/>
                <w:lang w:eastAsia="lv-LV"/>
              </w:rPr>
              <w:t>.0</w:t>
            </w:r>
          </w:p>
        </w:tc>
        <w:tc>
          <w:tcPr>
            <w:tcW w:w="920" w:type="dxa"/>
            <w:noWrap/>
            <w:hideMark/>
          </w:tcPr>
          <w:p w14:paraId="741E01FF" w14:textId="65A14136" w:rsidR="00D04156" w:rsidRPr="00CE68EA" w:rsidRDefault="00501A62" w:rsidP="00D04156">
            <w:pPr>
              <w:spacing w:before="0"/>
              <w:jc w:val="center"/>
              <w:rPr>
                <w:rFonts w:eastAsia="Times New Roman" w:cstheme="minorHAnsi"/>
                <w:sz w:val="22"/>
                <w:szCs w:val="22"/>
                <w:lang w:eastAsia="lv-LV"/>
              </w:rPr>
            </w:pPr>
            <w:r w:rsidRPr="00CE68EA">
              <w:rPr>
                <w:rFonts w:eastAsia="Times New Roman" w:cstheme="minorHAnsi"/>
                <w:sz w:val="22"/>
                <w:szCs w:val="22"/>
                <w:lang w:eastAsia="lv-LV"/>
              </w:rPr>
              <w:t>0,00</w:t>
            </w:r>
            <w:r w:rsidR="00D04156" w:rsidRPr="00CE68EA">
              <w:rPr>
                <w:rFonts w:eastAsia="Times New Roman" w:cstheme="minorHAnsi"/>
                <w:sz w:val="22"/>
                <w:szCs w:val="22"/>
                <w:lang w:eastAsia="lv-LV"/>
              </w:rPr>
              <w:t>%</w:t>
            </w:r>
          </w:p>
        </w:tc>
      </w:tr>
      <w:tr w:rsidR="00D04156" w:rsidRPr="00CE68EA" w14:paraId="7B4727CF" w14:textId="77777777" w:rsidTr="00501A62">
        <w:trPr>
          <w:trHeight w:val="615"/>
        </w:trPr>
        <w:tc>
          <w:tcPr>
            <w:tcW w:w="2967" w:type="dxa"/>
            <w:hideMark/>
          </w:tcPr>
          <w:p w14:paraId="2562C706" w14:textId="6D689785" w:rsidR="00D04156" w:rsidRPr="00CE68EA" w:rsidRDefault="00D04156" w:rsidP="00DD6EFE">
            <w:pPr>
              <w:spacing w:before="0"/>
              <w:jc w:val="left"/>
              <w:rPr>
                <w:rFonts w:eastAsia="Times New Roman" w:cstheme="minorHAnsi"/>
                <w:sz w:val="22"/>
                <w:szCs w:val="22"/>
                <w:lang w:eastAsia="lv-LV"/>
              </w:rPr>
            </w:pPr>
            <w:r w:rsidRPr="00CE68EA">
              <w:rPr>
                <w:rFonts w:eastAsia="Times New Roman" w:cstheme="minorHAnsi"/>
                <w:sz w:val="22"/>
                <w:szCs w:val="22"/>
                <w:lang w:eastAsia="lv-LV"/>
              </w:rPr>
              <w:t>Ārstniecības un pacientu aprūpes personāls</w:t>
            </w:r>
          </w:p>
        </w:tc>
        <w:tc>
          <w:tcPr>
            <w:tcW w:w="992" w:type="dxa"/>
            <w:noWrap/>
            <w:hideMark/>
          </w:tcPr>
          <w:p w14:paraId="597A0433" w14:textId="3A264438" w:rsidR="00D04156" w:rsidRPr="00CE68EA" w:rsidRDefault="003C552F" w:rsidP="007A244D">
            <w:pPr>
              <w:spacing w:before="0"/>
              <w:jc w:val="right"/>
              <w:rPr>
                <w:rFonts w:eastAsia="Times New Roman" w:cstheme="minorHAnsi"/>
                <w:sz w:val="22"/>
                <w:szCs w:val="22"/>
                <w:lang w:eastAsia="lv-LV"/>
              </w:rPr>
            </w:pPr>
            <w:r w:rsidRPr="00CE68EA">
              <w:rPr>
                <w:rFonts w:eastAsia="Times New Roman" w:cstheme="minorHAnsi"/>
                <w:sz w:val="22"/>
                <w:szCs w:val="22"/>
                <w:lang w:eastAsia="lv-LV"/>
              </w:rPr>
              <w:t>4</w:t>
            </w:r>
            <w:r w:rsidR="007A244D" w:rsidRPr="00CE68EA">
              <w:rPr>
                <w:rFonts w:eastAsia="Times New Roman" w:cstheme="minorHAnsi"/>
                <w:sz w:val="22"/>
                <w:szCs w:val="22"/>
                <w:lang w:eastAsia="lv-LV"/>
              </w:rPr>
              <w:t>6</w:t>
            </w:r>
            <w:r w:rsidRPr="00CE68EA">
              <w:rPr>
                <w:rFonts w:eastAsia="Times New Roman" w:cstheme="minorHAnsi"/>
                <w:sz w:val="22"/>
                <w:szCs w:val="22"/>
                <w:lang w:eastAsia="lv-LV"/>
              </w:rPr>
              <w:t>,0</w:t>
            </w:r>
          </w:p>
        </w:tc>
        <w:tc>
          <w:tcPr>
            <w:tcW w:w="1134" w:type="dxa"/>
            <w:noWrap/>
            <w:hideMark/>
          </w:tcPr>
          <w:p w14:paraId="38FFFC42" w14:textId="2C0BE9C4" w:rsidR="00D04156" w:rsidRPr="00CE68EA" w:rsidRDefault="00501A62" w:rsidP="00D04156">
            <w:pPr>
              <w:spacing w:before="0"/>
              <w:jc w:val="right"/>
              <w:rPr>
                <w:rFonts w:eastAsia="Times New Roman" w:cstheme="minorHAnsi"/>
                <w:sz w:val="22"/>
                <w:szCs w:val="22"/>
                <w:lang w:eastAsia="lv-LV"/>
              </w:rPr>
            </w:pPr>
            <w:r w:rsidRPr="00CE68EA">
              <w:rPr>
                <w:rFonts w:eastAsia="Times New Roman" w:cstheme="minorHAnsi"/>
                <w:sz w:val="22"/>
                <w:szCs w:val="22"/>
                <w:lang w:eastAsia="lv-LV"/>
              </w:rPr>
              <w:t>57</w:t>
            </w:r>
            <w:r w:rsidR="00D04156" w:rsidRPr="00CE68EA">
              <w:rPr>
                <w:rFonts w:eastAsia="Times New Roman" w:cstheme="minorHAnsi"/>
                <w:sz w:val="22"/>
                <w:szCs w:val="22"/>
                <w:lang w:eastAsia="lv-LV"/>
              </w:rPr>
              <w:t>.0</w:t>
            </w:r>
          </w:p>
        </w:tc>
        <w:tc>
          <w:tcPr>
            <w:tcW w:w="993" w:type="dxa"/>
            <w:noWrap/>
            <w:hideMark/>
          </w:tcPr>
          <w:p w14:paraId="4F7D40C0" w14:textId="272304E0" w:rsidR="00D04156" w:rsidRPr="00CE68EA" w:rsidRDefault="007A244D" w:rsidP="00D04156">
            <w:pPr>
              <w:spacing w:before="0"/>
              <w:jc w:val="right"/>
              <w:rPr>
                <w:rFonts w:eastAsia="Times New Roman" w:cstheme="minorHAnsi"/>
                <w:sz w:val="22"/>
                <w:szCs w:val="22"/>
                <w:lang w:eastAsia="lv-LV"/>
              </w:rPr>
            </w:pPr>
            <w:r w:rsidRPr="00CE68EA">
              <w:rPr>
                <w:rFonts w:eastAsia="Times New Roman" w:cstheme="minorHAnsi"/>
                <w:sz w:val="22"/>
                <w:szCs w:val="22"/>
                <w:lang w:eastAsia="lv-LV"/>
              </w:rPr>
              <w:t>57</w:t>
            </w:r>
            <w:r w:rsidR="00D04156" w:rsidRPr="00CE68EA">
              <w:rPr>
                <w:rFonts w:eastAsia="Times New Roman" w:cstheme="minorHAnsi"/>
                <w:sz w:val="22"/>
                <w:szCs w:val="22"/>
                <w:lang w:eastAsia="lv-LV"/>
              </w:rPr>
              <w:t>.0</w:t>
            </w:r>
          </w:p>
        </w:tc>
        <w:tc>
          <w:tcPr>
            <w:tcW w:w="850" w:type="dxa"/>
            <w:noWrap/>
            <w:hideMark/>
          </w:tcPr>
          <w:p w14:paraId="1329D840" w14:textId="51138FF6" w:rsidR="00D04156" w:rsidRPr="00CE68EA" w:rsidRDefault="00501A62" w:rsidP="00D04156">
            <w:pPr>
              <w:spacing w:before="0"/>
              <w:jc w:val="right"/>
              <w:rPr>
                <w:rFonts w:eastAsia="Times New Roman" w:cstheme="minorHAnsi"/>
                <w:sz w:val="22"/>
                <w:szCs w:val="22"/>
                <w:lang w:eastAsia="lv-LV"/>
              </w:rPr>
            </w:pPr>
            <w:r w:rsidRPr="00CE68EA">
              <w:rPr>
                <w:rFonts w:eastAsia="Times New Roman" w:cstheme="minorHAnsi"/>
                <w:sz w:val="22"/>
                <w:szCs w:val="22"/>
                <w:lang w:eastAsia="lv-LV"/>
              </w:rPr>
              <w:t>11,0</w:t>
            </w:r>
          </w:p>
        </w:tc>
        <w:tc>
          <w:tcPr>
            <w:tcW w:w="997" w:type="dxa"/>
            <w:noWrap/>
            <w:hideMark/>
          </w:tcPr>
          <w:p w14:paraId="4759C233" w14:textId="0D0FBD63" w:rsidR="00D04156" w:rsidRPr="00CE68EA" w:rsidRDefault="00501A62" w:rsidP="00501A62">
            <w:pPr>
              <w:spacing w:before="0"/>
              <w:jc w:val="center"/>
              <w:rPr>
                <w:rFonts w:eastAsia="Times New Roman" w:cstheme="minorHAnsi"/>
                <w:sz w:val="22"/>
                <w:szCs w:val="22"/>
                <w:lang w:eastAsia="lv-LV"/>
              </w:rPr>
            </w:pPr>
            <w:r w:rsidRPr="00CE68EA">
              <w:rPr>
                <w:rFonts w:eastAsia="Times New Roman" w:cstheme="minorHAnsi"/>
                <w:sz w:val="22"/>
                <w:szCs w:val="22"/>
                <w:lang w:eastAsia="lv-LV"/>
              </w:rPr>
              <w:t>23,91</w:t>
            </w:r>
            <w:r w:rsidR="00D04156" w:rsidRPr="00CE68EA">
              <w:rPr>
                <w:rFonts w:eastAsia="Times New Roman" w:cstheme="minorHAnsi"/>
                <w:sz w:val="22"/>
                <w:szCs w:val="22"/>
                <w:lang w:eastAsia="lv-LV"/>
              </w:rPr>
              <w:t>%</w:t>
            </w:r>
          </w:p>
        </w:tc>
        <w:tc>
          <w:tcPr>
            <w:tcW w:w="647" w:type="dxa"/>
            <w:noWrap/>
            <w:hideMark/>
          </w:tcPr>
          <w:p w14:paraId="597C0C25" w14:textId="419D1A35" w:rsidR="00D04156" w:rsidRPr="00CE68EA" w:rsidRDefault="00501A62" w:rsidP="00D04156">
            <w:pPr>
              <w:spacing w:before="0"/>
              <w:jc w:val="right"/>
              <w:rPr>
                <w:rFonts w:eastAsia="Times New Roman" w:cstheme="minorHAnsi"/>
                <w:sz w:val="22"/>
                <w:szCs w:val="22"/>
                <w:lang w:eastAsia="lv-LV"/>
              </w:rPr>
            </w:pPr>
            <w:r w:rsidRPr="00CE68EA">
              <w:rPr>
                <w:rFonts w:eastAsia="Times New Roman" w:cstheme="minorHAnsi"/>
                <w:sz w:val="22"/>
                <w:szCs w:val="22"/>
                <w:lang w:eastAsia="lv-LV"/>
              </w:rPr>
              <w:t>0</w:t>
            </w:r>
          </w:p>
        </w:tc>
        <w:tc>
          <w:tcPr>
            <w:tcW w:w="920" w:type="dxa"/>
            <w:noWrap/>
            <w:hideMark/>
          </w:tcPr>
          <w:p w14:paraId="06EADDAF" w14:textId="66683DE3" w:rsidR="00D04156" w:rsidRPr="00CE68EA" w:rsidRDefault="00501A62" w:rsidP="00D04156">
            <w:pPr>
              <w:spacing w:before="0"/>
              <w:jc w:val="center"/>
              <w:rPr>
                <w:rFonts w:eastAsia="Times New Roman" w:cstheme="minorHAnsi"/>
                <w:sz w:val="22"/>
                <w:szCs w:val="22"/>
                <w:lang w:eastAsia="lv-LV"/>
              </w:rPr>
            </w:pPr>
            <w:r w:rsidRPr="00CE68EA">
              <w:rPr>
                <w:rFonts w:eastAsia="Times New Roman" w:cstheme="minorHAnsi"/>
                <w:sz w:val="22"/>
                <w:szCs w:val="22"/>
                <w:lang w:eastAsia="lv-LV"/>
              </w:rPr>
              <w:t>0,00</w:t>
            </w:r>
            <w:r w:rsidR="00D04156" w:rsidRPr="00CE68EA">
              <w:rPr>
                <w:rFonts w:eastAsia="Times New Roman" w:cstheme="minorHAnsi"/>
                <w:sz w:val="22"/>
                <w:szCs w:val="22"/>
                <w:lang w:eastAsia="lv-LV"/>
              </w:rPr>
              <w:t>%</w:t>
            </w:r>
          </w:p>
        </w:tc>
      </w:tr>
      <w:tr w:rsidR="00D04156" w:rsidRPr="00CE68EA" w14:paraId="27F7F75E" w14:textId="77777777" w:rsidTr="00501A62">
        <w:trPr>
          <w:trHeight w:val="615"/>
        </w:trPr>
        <w:tc>
          <w:tcPr>
            <w:tcW w:w="2967" w:type="dxa"/>
            <w:hideMark/>
          </w:tcPr>
          <w:p w14:paraId="73CF3AF7" w14:textId="77777777" w:rsidR="00D04156" w:rsidRPr="00CE68EA" w:rsidRDefault="00D04156" w:rsidP="00DD6EFE">
            <w:pPr>
              <w:spacing w:before="0"/>
              <w:jc w:val="left"/>
              <w:rPr>
                <w:rFonts w:eastAsia="Times New Roman" w:cstheme="minorHAnsi"/>
                <w:sz w:val="22"/>
                <w:szCs w:val="22"/>
                <w:lang w:eastAsia="lv-LV"/>
              </w:rPr>
            </w:pPr>
            <w:r w:rsidRPr="00CE68EA">
              <w:rPr>
                <w:rFonts w:eastAsia="Times New Roman" w:cstheme="minorHAnsi"/>
                <w:sz w:val="22"/>
                <w:szCs w:val="22"/>
                <w:lang w:eastAsia="lv-LV"/>
              </w:rPr>
              <w:lastRenderedPageBreak/>
              <w:t>Ārstniecības un pacientu aprūpes atbalsta personāls</w:t>
            </w:r>
          </w:p>
        </w:tc>
        <w:tc>
          <w:tcPr>
            <w:tcW w:w="992" w:type="dxa"/>
            <w:noWrap/>
            <w:hideMark/>
          </w:tcPr>
          <w:p w14:paraId="7015FEDA" w14:textId="2FE20E82" w:rsidR="00D04156" w:rsidRPr="00CE68EA" w:rsidRDefault="00501A62" w:rsidP="00D04156">
            <w:pPr>
              <w:spacing w:before="0"/>
              <w:jc w:val="right"/>
              <w:rPr>
                <w:rFonts w:eastAsia="Times New Roman" w:cstheme="minorHAnsi"/>
                <w:sz w:val="22"/>
                <w:szCs w:val="22"/>
                <w:lang w:eastAsia="lv-LV"/>
              </w:rPr>
            </w:pPr>
            <w:r w:rsidRPr="00CE68EA">
              <w:rPr>
                <w:rFonts w:eastAsia="Times New Roman" w:cstheme="minorHAnsi"/>
                <w:sz w:val="22"/>
                <w:szCs w:val="22"/>
                <w:lang w:eastAsia="lv-LV"/>
              </w:rPr>
              <w:t>43,0</w:t>
            </w:r>
          </w:p>
        </w:tc>
        <w:tc>
          <w:tcPr>
            <w:tcW w:w="1134" w:type="dxa"/>
            <w:noWrap/>
            <w:hideMark/>
          </w:tcPr>
          <w:p w14:paraId="16DEEB68" w14:textId="675C4F49" w:rsidR="00D04156" w:rsidRPr="00CE68EA" w:rsidRDefault="00501A62" w:rsidP="00501A62">
            <w:pPr>
              <w:spacing w:before="0"/>
              <w:jc w:val="right"/>
              <w:rPr>
                <w:rFonts w:eastAsia="Times New Roman" w:cstheme="minorHAnsi"/>
                <w:sz w:val="22"/>
                <w:szCs w:val="22"/>
                <w:lang w:eastAsia="lv-LV"/>
              </w:rPr>
            </w:pPr>
            <w:r w:rsidRPr="00CE68EA">
              <w:rPr>
                <w:rFonts w:eastAsia="Times New Roman" w:cstheme="minorHAnsi"/>
                <w:sz w:val="22"/>
                <w:szCs w:val="22"/>
                <w:lang w:eastAsia="lv-LV"/>
              </w:rPr>
              <w:t>47</w:t>
            </w:r>
            <w:r w:rsidR="00D04156" w:rsidRPr="00CE68EA">
              <w:rPr>
                <w:rFonts w:eastAsia="Times New Roman" w:cstheme="minorHAnsi"/>
                <w:sz w:val="22"/>
                <w:szCs w:val="22"/>
                <w:lang w:eastAsia="lv-LV"/>
              </w:rPr>
              <w:t>.0</w:t>
            </w:r>
          </w:p>
        </w:tc>
        <w:tc>
          <w:tcPr>
            <w:tcW w:w="993" w:type="dxa"/>
            <w:noWrap/>
            <w:hideMark/>
          </w:tcPr>
          <w:p w14:paraId="00F9B227" w14:textId="45F3522F" w:rsidR="00D04156" w:rsidRPr="00CE68EA" w:rsidRDefault="007A244D" w:rsidP="00D04156">
            <w:pPr>
              <w:spacing w:before="0"/>
              <w:jc w:val="right"/>
              <w:rPr>
                <w:rFonts w:eastAsia="Times New Roman" w:cstheme="minorHAnsi"/>
                <w:sz w:val="22"/>
                <w:szCs w:val="22"/>
                <w:lang w:eastAsia="lv-LV"/>
              </w:rPr>
            </w:pPr>
            <w:r w:rsidRPr="00CE68EA">
              <w:rPr>
                <w:rFonts w:eastAsia="Times New Roman" w:cstheme="minorHAnsi"/>
                <w:sz w:val="22"/>
                <w:szCs w:val="22"/>
                <w:lang w:eastAsia="lv-LV"/>
              </w:rPr>
              <w:t>46</w:t>
            </w:r>
            <w:r w:rsidR="00D04156" w:rsidRPr="00CE68EA">
              <w:rPr>
                <w:rFonts w:eastAsia="Times New Roman" w:cstheme="minorHAnsi"/>
                <w:sz w:val="22"/>
                <w:szCs w:val="22"/>
                <w:lang w:eastAsia="lv-LV"/>
              </w:rPr>
              <w:t>.0</w:t>
            </w:r>
          </w:p>
        </w:tc>
        <w:tc>
          <w:tcPr>
            <w:tcW w:w="850" w:type="dxa"/>
            <w:noWrap/>
            <w:hideMark/>
          </w:tcPr>
          <w:p w14:paraId="06342C95" w14:textId="52557197" w:rsidR="00D04156" w:rsidRPr="00CE68EA" w:rsidRDefault="00501A62" w:rsidP="00D04156">
            <w:pPr>
              <w:spacing w:before="0"/>
              <w:jc w:val="right"/>
              <w:rPr>
                <w:rFonts w:eastAsia="Times New Roman" w:cstheme="minorHAnsi"/>
                <w:sz w:val="22"/>
                <w:szCs w:val="22"/>
                <w:lang w:eastAsia="lv-LV"/>
              </w:rPr>
            </w:pPr>
            <w:r w:rsidRPr="00CE68EA">
              <w:rPr>
                <w:rFonts w:eastAsia="Times New Roman" w:cstheme="minorHAnsi"/>
                <w:sz w:val="22"/>
                <w:szCs w:val="22"/>
                <w:lang w:eastAsia="lv-LV"/>
              </w:rPr>
              <w:t>3</w:t>
            </w:r>
            <w:r w:rsidR="00D04156" w:rsidRPr="00CE68EA">
              <w:rPr>
                <w:rFonts w:eastAsia="Times New Roman" w:cstheme="minorHAnsi"/>
                <w:sz w:val="22"/>
                <w:szCs w:val="22"/>
                <w:lang w:eastAsia="lv-LV"/>
              </w:rPr>
              <w:t>.0</w:t>
            </w:r>
          </w:p>
        </w:tc>
        <w:tc>
          <w:tcPr>
            <w:tcW w:w="997" w:type="dxa"/>
            <w:noWrap/>
            <w:hideMark/>
          </w:tcPr>
          <w:p w14:paraId="1A9EFC44" w14:textId="3C48019B" w:rsidR="00D04156" w:rsidRPr="00CE68EA" w:rsidRDefault="00501A62" w:rsidP="00D04156">
            <w:pPr>
              <w:spacing w:before="0"/>
              <w:jc w:val="center"/>
              <w:rPr>
                <w:rFonts w:eastAsia="Times New Roman" w:cstheme="minorHAnsi"/>
                <w:sz w:val="22"/>
                <w:szCs w:val="22"/>
                <w:lang w:eastAsia="lv-LV"/>
              </w:rPr>
            </w:pPr>
            <w:r w:rsidRPr="00CE68EA">
              <w:rPr>
                <w:rFonts w:eastAsia="Times New Roman" w:cstheme="minorHAnsi"/>
                <w:sz w:val="22"/>
                <w:szCs w:val="22"/>
                <w:lang w:eastAsia="lv-LV"/>
              </w:rPr>
              <w:t>6,98</w:t>
            </w:r>
            <w:r w:rsidR="00D04156" w:rsidRPr="00CE68EA">
              <w:rPr>
                <w:rFonts w:eastAsia="Times New Roman" w:cstheme="minorHAnsi"/>
                <w:sz w:val="22"/>
                <w:szCs w:val="22"/>
                <w:lang w:eastAsia="lv-LV"/>
              </w:rPr>
              <w:t>%</w:t>
            </w:r>
          </w:p>
        </w:tc>
        <w:tc>
          <w:tcPr>
            <w:tcW w:w="647" w:type="dxa"/>
            <w:noWrap/>
            <w:hideMark/>
          </w:tcPr>
          <w:p w14:paraId="60407B26" w14:textId="4C3122E2" w:rsidR="00D04156" w:rsidRPr="00CE68EA" w:rsidRDefault="00501A62" w:rsidP="00501A62">
            <w:pPr>
              <w:spacing w:before="0"/>
              <w:jc w:val="right"/>
              <w:rPr>
                <w:rFonts w:eastAsia="Times New Roman" w:cstheme="minorHAnsi"/>
                <w:sz w:val="22"/>
                <w:szCs w:val="22"/>
                <w:lang w:eastAsia="lv-LV"/>
              </w:rPr>
            </w:pPr>
            <w:r w:rsidRPr="00CE68EA">
              <w:rPr>
                <w:rFonts w:eastAsia="Times New Roman" w:cstheme="minorHAnsi"/>
                <w:sz w:val="22"/>
                <w:szCs w:val="22"/>
                <w:lang w:eastAsia="lv-LV"/>
              </w:rPr>
              <w:t>-1,0</w:t>
            </w:r>
          </w:p>
        </w:tc>
        <w:tc>
          <w:tcPr>
            <w:tcW w:w="920" w:type="dxa"/>
            <w:noWrap/>
            <w:hideMark/>
          </w:tcPr>
          <w:p w14:paraId="24C15574" w14:textId="11DBB09C" w:rsidR="00D04156" w:rsidRPr="00CE68EA" w:rsidRDefault="00501A62" w:rsidP="00D04156">
            <w:pPr>
              <w:spacing w:before="0"/>
              <w:jc w:val="center"/>
              <w:rPr>
                <w:rFonts w:eastAsia="Times New Roman" w:cstheme="minorHAnsi"/>
                <w:sz w:val="22"/>
                <w:szCs w:val="22"/>
                <w:lang w:eastAsia="lv-LV"/>
              </w:rPr>
            </w:pPr>
            <w:r w:rsidRPr="00CE68EA">
              <w:rPr>
                <w:rFonts w:eastAsia="Times New Roman" w:cstheme="minorHAnsi"/>
                <w:sz w:val="22"/>
                <w:szCs w:val="22"/>
                <w:lang w:eastAsia="lv-LV"/>
              </w:rPr>
              <w:t>-2,13</w:t>
            </w:r>
            <w:r w:rsidR="00D04156" w:rsidRPr="00CE68EA">
              <w:rPr>
                <w:rFonts w:eastAsia="Times New Roman" w:cstheme="minorHAnsi"/>
                <w:sz w:val="22"/>
                <w:szCs w:val="22"/>
                <w:lang w:eastAsia="lv-LV"/>
              </w:rPr>
              <w:t>%</w:t>
            </w:r>
          </w:p>
        </w:tc>
      </w:tr>
      <w:tr w:rsidR="00D04156" w:rsidRPr="00CE68EA" w14:paraId="0B944CBD" w14:textId="77777777" w:rsidTr="00501A62">
        <w:trPr>
          <w:trHeight w:val="315"/>
        </w:trPr>
        <w:tc>
          <w:tcPr>
            <w:tcW w:w="2967" w:type="dxa"/>
            <w:hideMark/>
          </w:tcPr>
          <w:p w14:paraId="6ED99BC6" w14:textId="77777777" w:rsidR="00D04156" w:rsidRPr="00CE68EA" w:rsidRDefault="00D04156" w:rsidP="00DD6EFE">
            <w:pPr>
              <w:spacing w:before="0"/>
              <w:jc w:val="left"/>
              <w:rPr>
                <w:rFonts w:eastAsia="Times New Roman" w:cstheme="minorHAnsi"/>
                <w:sz w:val="22"/>
                <w:szCs w:val="22"/>
                <w:lang w:eastAsia="lv-LV"/>
              </w:rPr>
            </w:pPr>
            <w:r w:rsidRPr="00CE68EA">
              <w:rPr>
                <w:rFonts w:eastAsia="Times New Roman" w:cstheme="minorHAnsi"/>
                <w:sz w:val="22"/>
                <w:szCs w:val="22"/>
                <w:lang w:eastAsia="lv-LV"/>
              </w:rPr>
              <w:t>Administrācija</w:t>
            </w:r>
          </w:p>
        </w:tc>
        <w:tc>
          <w:tcPr>
            <w:tcW w:w="992" w:type="dxa"/>
            <w:noWrap/>
            <w:hideMark/>
          </w:tcPr>
          <w:p w14:paraId="2D39F7D6" w14:textId="3C924E82" w:rsidR="00D04156" w:rsidRPr="00CE68EA" w:rsidRDefault="007A244D" w:rsidP="007A244D">
            <w:pPr>
              <w:spacing w:before="0"/>
              <w:jc w:val="right"/>
              <w:rPr>
                <w:rFonts w:eastAsia="Times New Roman" w:cstheme="minorHAnsi"/>
                <w:sz w:val="22"/>
                <w:szCs w:val="22"/>
                <w:lang w:eastAsia="lv-LV"/>
              </w:rPr>
            </w:pPr>
            <w:r w:rsidRPr="00CE68EA">
              <w:rPr>
                <w:rFonts w:eastAsia="Times New Roman" w:cstheme="minorHAnsi"/>
                <w:sz w:val="22"/>
                <w:szCs w:val="22"/>
                <w:lang w:eastAsia="lv-LV"/>
              </w:rPr>
              <w:t>8</w:t>
            </w:r>
            <w:r w:rsidR="00D04156" w:rsidRPr="00CE68EA">
              <w:rPr>
                <w:rFonts w:eastAsia="Times New Roman" w:cstheme="minorHAnsi"/>
                <w:sz w:val="22"/>
                <w:szCs w:val="22"/>
                <w:lang w:eastAsia="lv-LV"/>
              </w:rPr>
              <w:t>.0</w:t>
            </w:r>
          </w:p>
        </w:tc>
        <w:tc>
          <w:tcPr>
            <w:tcW w:w="1134" w:type="dxa"/>
            <w:noWrap/>
            <w:hideMark/>
          </w:tcPr>
          <w:p w14:paraId="23E59ECA" w14:textId="77777777" w:rsidR="00D04156" w:rsidRPr="00CE68EA" w:rsidRDefault="00D04156" w:rsidP="00D04156">
            <w:pPr>
              <w:spacing w:before="0"/>
              <w:jc w:val="right"/>
              <w:rPr>
                <w:rFonts w:eastAsia="Times New Roman" w:cstheme="minorHAnsi"/>
                <w:sz w:val="22"/>
                <w:szCs w:val="22"/>
                <w:lang w:eastAsia="lv-LV"/>
              </w:rPr>
            </w:pPr>
            <w:r w:rsidRPr="00CE68EA">
              <w:rPr>
                <w:rFonts w:eastAsia="Times New Roman" w:cstheme="minorHAnsi"/>
                <w:sz w:val="22"/>
                <w:szCs w:val="22"/>
                <w:lang w:eastAsia="lv-LV"/>
              </w:rPr>
              <w:t>9.0</w:t>
            </w:r>
          </w:p>
        </w:tc>
        <w:tc>
          <w:tcPr>
            <w:tcW w:w="993" w:type="dxa"/>
            <w:noWrap/>
            <w:hideMark/>
          </w:tcPr>
          <w:p w14:paraId="3B098140" w14:textId="77777777" w:rsidR="00D04156" w:rsidRPr="00CE68EA" w:rsidRDefault="00D04156" w:rsidP="00D04156">
            <w:pPr>
              <w:spacing w:before="0"/>
              <w:jc w:val="right"/>
              <w:rPr>
                <w:rFonts w:eastAsia="Times New Roman" w:cstheme="minorHAnsi"/>
                <w:sz w:val="22"/>
                <w:szCs w:val="22"/>
                <w:lang w:eastAsia="lv-LV"/>
              </w:rPr>
            </w:pPr>
            <w:r w:rsidRPr="00CE68EA">
              <w:rPr>
                <w:rFonts w:eastAsia="Times New Roman" w:cstheme="minorHAnsi"/>
                <w:sz w:val="22"/>
                <w:szCs w:val="22"/>
                <w:lang w:eastAsia="lv-LV"/>
              </w:rPr>
              <w:t>9.0</w:t>
            </w:r>
          </w:p>
        </w:tc>
        <w:tc>
          <w:tcPr>
            <w:tcW w:w="850" w:type="dxa"/>
            <w:noWrap/>
            <w:hideMark/>
          </w:tcPr>
          <w:p w14:paraId="76B0543B" w14:textId="06F6D22D" w:rsidR="00D04156" w:rsidRPr="00CE68EA" w:rsidRDefault="00501A62" w:rsidP="00D04156">
            <w:pPr>
              <w:spacing w:before="0"/>
              <w:jc w:val="right"/>
              <w:rPr>
                <w:rFonts w:eastAsia="Times New Roman" w:cstheme="minorHAnsi"/>
                <w:sz w:val="22"/>
                <w:szCs w:val="22"/>
                <w:lang w:eastAsia="lv-LV"/>
              </w:rPr>
            </w:pPr>
            <w:r w:rsidRPr="00CE68EA">
              <w:rPr>
                <w:rFonts w:eastAsia="Times New Roman" w:cstheme="minorHAnsi"/>
                <w:sz w:val="22"/>
                <w:szCs w:val="22"/>
                <w:lang w:eastAsia="lv-LV"/>
              </w:rPr>
              <w:t>1,00</w:t>
            </w:r>
          </w:p>
        </w:tc>
        <w:tc>
          <w:tcPr>
            <w:tcW w:w="997" w:type="dxa"/>
            <w:noWrap/>
            <w:hideMark/>
          </w:tcPr>
          <w:p w14:paraId="659C4F6C" w14:textId="20F33846" w:rsidR="00D04156" w:rsidRPr="00CE68EA" w:rsidRDefault="00501A62" w:rsidP="00501A62">
            <w:pPr>
              <w:spacing w:before="0"/>
              <w:jc w:val="center"/>
              <w:rPr>
                <w:rFonts w:eastAsia="Times New Roman" w:cstheme="minorHAnsi"/>
                <w:sz w:val="22"/>
                <w:szCs w:val="22"/>
                <w:lang w:eastAsia="lv-LV"/>
              </w:rPr>
            </w:pPr>
            <w:r w:rsidRPr="00CE68EA">
              <w:rPr>
                <w:rFonts w:eastAsia="Times New Roman" w:cstheme="minorHAnsi"/>
                <w:sz w:val="22"/>
                <w:szCs w:val="22"/>
                <w:lang w:eastAsia="lv-LV"/>
              </w:rPr>
              <w:t>12,50</w:t>
            </w:r>
            <w:r w:rsidR="00D04156" w:rsidRPr="00CE68EA">
              <w:rPr>
                <w:rFonts w:eastAsia="Times New Roman" w:cstheme="minorHAnsi"/>
                <w:sz w:val="22"/>
                <w:szCs w:val="22"/>
                <w:lang w:eastAsia="lv-LV"/>
              </w:rPr>
              <w:t>%</w:t>
            </w:r>
          </w:p>
        </w:tc>
        <w:tc>
          <w:tcPr>
            <w:tcW w:w="647" w:type="dxa"/>
            <w:noWrap/>
            <w:hideMark/>
          </w:tcPr>
          <w:p w14:paraId="389FC2F8" w14:textId="77777777" w:rsidR="00D04156" w:rsidRPr="00CE68EA" w:rsidRDefault="00D04156" w:rsidP="00D04156">
            <w:pPr>
              <w:spacing w:before="0"/>
              <w:jc w:val="right"/>
              <w:rPr>
                <w:rFonts w:eastAsia="Times New Roman" w:cstheme="minorHAnsi"/>
                <w:sz w:val="22"/>
                <w:szCs w:val="22"/>
                <w:lang w:eastAsia="lv-LV"/>
              </w:rPr>
            </w:pPr>
            <w:r w:rsidRPr="00CE68EA">
              <w:rPr>
                <w:rFonts w:eastAsia="Times New Roman" w:cstheme="minorHAnsi"/>
                <w:sz w:val="22"/>
                <w:szCs w:val="22"/>
                <w:lang w:eastAsia="lv-LV"/>
              </w:rPr>
              <w:t>0.0</w:t>
            </w:r>
          </w:p>
        </w:tc>
        <w:tc>
          <w:tcPr>
            <w:tcW w:w="920" w:type="dxa"/>
            <w:noWrap/>
            <w:hideMark/>
          </w:tcPr>
          <w:p w14:paraId="64076AAD" w14:textId="77777777" w:rsidR="00D04156" w:rsidRPr="00CE68EA" w:rsidRDefault="00D04156" w:rsidP="00D04156">
            <w:pPr>
              <w:spacing w:before="0"/>
              <w:jc w:val="center"/>
              <w:rPr>
                <w:rFonts w:eastAsia="Times New Roman" w:cstheme="minorHAnsi"/>
                <w:sz w:val="22"/>
                <w:szCs w:val="22"/>
                <w:lang w:eastAsia="lv-LV"/>
              </w:rPr>
            </w:pPr>
            <w:r w:rsidRPr="00CE68EA">
              <w:rPr>
                <w:rFonts w:eastAsia="Times New Roman" w:cstheme="minorHAnsi"/>
                <w:sz w:val="22"/>
                <w:szCs w:val="22"/>
                <w:lang w:eastAsia="lv-LV"/>
              </w:rPr>
              <w:t>0.00%</w:t>
            </w:r>
          </w:p>
        </w:tc>
      </w:tr>
      <w:tr w:rsidR="00D04156" w:rsidRPr="00CE68EA" w14:paraId="449B745C" w14:textId="77777777" w:rsidTr="00501A62">
        <w:trPr>
          <w:trHeight w:val="615"/>
        </w:trPr>
        <w:tc>
          <w:tcPr>
            <w:tcW w:w="2967" w:type="dxa"/>
            <w:hideMark/>
          </w:tcPr>
          <w:p w14:paraId="535092A0" w14:textId="77777777" w:rsidR="00D04156" w:rsidRPr="00CE68EA" w:rsidRDefault="00D04156" w:rsidP="00DD6EFE">
            <w:pPr>
              <w:spacing w:before="0"/>
              <w:jc w:val="left"/>
              <w:rPr>
                <w:rFonts w:eastAsia="Times New Roman" w:cstheme="minorHAnsi"/>
                <w:sz w:val="22"/>
                <w:szCs w:val="22"/>
                <w:lang w:eastAsia="lv-LV"/>
              </w:rPr>
            </w:pPr>
            <w:r w:rsidRPr="00CE68EA">
              <w:rPr>
                <w:rFonts w:eastAsia="Times New Roman" w:cstheme="minorHAnsi"/>
                <w:sz w:val="22"/>
                <w:szCs w:val="22"/>
                <w:lang w:eastAsia="lv-LV"/>
              </w:rPr>
              <w:t>Pārējais personāls (t.sk. sanitāri)</w:t>
            </w:r>
          </w:p>
        </w:tc>
        <w:tc>
          <w:tcPr>
            <w:tcW w:w="992" w:type="dxa"/>
            <w:noWrap/>
            <w:hideMark/>
          </w:tcPr>
          <w:p w14:paraId="5515E528" w14:textId="5935286A" w:rsidR="00D04156" w:rsidRPr="00CE68EA" w:rsidRDefault="00501A62" w:rsidP="00D04156">
            <w:pPr>
              <w:spacing w:before="0"/>
              <w:jc w:val="right"/>
              <w:rPr>
                <w:rFonts w:eastAsia="Times New Roman" w:cstheme="minorHAnsi"/>
                <w:sz w:val="22"/>
                <w:szCs w:val="22"/>
                <w:lang w:eastAsia="lv-LV"/>
              </w:rPr>
            </w:pPr>
            <w:r w:rsidRPr="00CE68EA">
              <w:rPr>
                <w:rFonts w:eastAsia="Times New Roman" w:cstheme="minorHAnsi"/>
                <w:sz w:val="22"/>
                <w:szCs w:val="22"/>
                <w:lang w:eastAsia="lv-LV"/>
              </w:rPr>
              <w:t>53,0</w:t>
            </w:r>
          </w:p>
        </w:tc>
        <w:tc>
          <w:tcPr>
            <w:tcW w:w="1134" w:type="dxa"/>
            <w:noWrap/>
            <w:hideMark/>
          </w:tcPr>
          <w:p w14:paraId="440511FD" w14:textId="1A4075C0" w:rsidR="00D04156" w:rsidRPr="00CE68EA" w:rsidRDefault="00501A62" w:rsidP="00D04156">
            <w:pPr>
              <w:spacing w:before="0"/>
              <w:jc w:val="right"/>
              <w:rPr>
                <w:rFonts w:eastAsia="Times New Roman" w:cstheme="minorHAnsi"/>
                <w:sz w:val="22"/>
                <w:szCs w:val="22"/>
                <w:lang w:eastAsia="lv-LV"/>
              </w:rPr>
            </w:pPr>
            <w:r w:rsidRPr="00CE68EA">
              <w:rPr>
                <w:rFonts w:eastAsia="Times New Roman" w:cstheme="minorHAnsi"/>
                <w:sz w:val="22"/>
                <w:szCs w:val="22"/>
                <w:lang w:eastAsia="lv-LV"/>
              </w:rPr>
              <w:t>57</w:t>
            </w:r>
            <w:r w:rsidR="00D04156" w:rsidRPr="00CE68EA">
              <w:rPr>
                <w:rFonts w:eastAsia="Times New Roman" w:cstheme="minorHAnsi"/>
                <w:sz w:val="22"/>
                <w:szCs w:val="22"/>
                <w:lang w:eastAsia="lv-LV"/>
              </w:rPr>
              <w:t>.0</w:t>
            </w:r>
          </w:p>
        </w:tc>
        <w:tc>
          <w:tcPr>
            <w:tcW w:w="993" w:type="dxa"/>
            <w:noWrap/>
            <w:hideMark/>
          </w:tcPr>
          <w:p w14:paraId="118FE450" w14:textId="1783DEF3" w:rsidR="00D04156" w:rsidRPr="00CE68EA" w:rsidRDefault="00D04156" w:rsidP="00501A62">
            <w:pPr>
              <w:spacing w:before="0"/>
              <w:jc w:val="right"/>
              <w:rPr>
                <w:rFonts w:eastAsia="Times New Roman" w:cstheme="minorHAnsi"/>
                <w:sz w:val="22"/>
                <w:szCs w:val="22"/>
                <w:lang w:eastAsia="lv-LV"/>
              </w:rPr>
            </w:pPr>
            <w:r w:rsidRPr="00CE68EA">
              <w:rPr>
                <w:rFonts w:eastAsia="Times New Roman" w:cstheme="minorHAnsi"/>
                <w:sz w:val="22"/>
                <w:szCs w:val="22"/>
                <w:lang w:eastAsia="lv-LV"/>
              </w:rPr>
              <w:t>5</w:t>
            </w:r>
            <w:r w:rsidR="00501A62" w:rsidRPr="00CE68EA">
              <w:rPr>
                <w:rFonts w:eastAsia="Times New Roman" w:cstheme="minorHAnsi"/>
                <w:sz w:val="22"/>
                <w:szCs w:val="22"/>
                <w:lang w:eastAsia="lv-LV"/>
              </w:rPr>
              <w:t>6</w:t>
            </w:r>
            <w:r w:rsidRPr="00CE68EA">
              <w:rPr>
                <w:rFonts w:eastAsia="Times New Roman" w:cstheme="minorHAnsi"/>
                <w:sz w:val="22"/>
                <w:szCs w:val="22"/>
                <w:lang w:eastAsia="lv-LV"/>
              </w:rPr>
              <w:t>.0</w:t>
            </w:r>
          </w:p>
        </w:tc>
        <w:tc>
          <w:tcPr>
            <w:tcW w:w="850" w:type="dxa"/>
            <w:noWrap/>
            <w:hideMark/>
          </w:tcPr>
          <w:p w14:paraId="58369CE4" w14:textId="35176350" w:rsidR="00D04156" w:rsidRPr="00CE68EA" w:rsidRDefault="00501A62" w:rsidP="00D04156">
            <w:pPr>
              <w:spacing w:before="0"/>
              <w:jc w:val="right"/>
              <w:rPr>
                <w:rFonts w:eastAsia="Times New Roman" w:cstheme="minorHAnsi"/>
                <w:sz w:val="22"/>
                <w:szCs w:val="22"/>
                <w:lang w:eastAsia="lv-LV"/>
              </w:rPr>
            </w:pPr>
            <w:r w:rsidRPr="00CE68EA">
              <w:rPr>
                <w:rFonts w:eastAsia="Times New Roman" w:cstheme="minorHAnsi"/>
                <w:sz w:val="22"/>
                <w:szCs w:val="22"/>
                <w:lang w:eastAsia="lv-LV"/>
              </w:rPr>
              <w:t>3,0</w:t>
            </w:r>
          </w:p>
        </w:tc>
        <w:tc>
          <w:tcPr>
            <w:tcW w:w="997" w:type="dxa"/>
            <w:noWrap/>
            <w:hideMark/>
          </w:tcPr>
          <w:p w14:paraId="422DA9C6" w14:textId="2A43F69B" w:rsidR="00D04156" w:rsidRPr="00CE68EA" w:rsidRDefault="00501A62" w:rsidP="00D04156">
            <w:pPr>
              <w:spacing w:before="0"/>
              <w:jc w:val="center"/>
              <w:rPr>
                <w:rFonts w:eastAsia="Times New Roman" w:cstheme="minorHAnsi"/>
                <w:sz w:val="22"/>
                <w:szCs w:val="22"/>
                <w:lang w:eastAsia="lv-LV"/>
              </w:rPr>
            </w:pPr>
            <w:r w:rsidRPr="00CE68EA">
              <w:rPr>
                <w:rFonts w:eastAsia="Times New Roman" w:cstheme="minorHAnsi"/>
                <w:sz w:val="22"/>
                <w:szCs w:val="22"/>
                <w:lang w:eastAsia="lv-LV"/>
              </w:rPr>
              <w:t>5,66</w:t>
            </w:r>
            <w:r w:rsidR="00D04156" w:rsidRPr="00CE68EA">
              <w:rPr>
                <w:rFonts w:eastAsia="Times New Roman" w:cstheme="minorHAnsi"/>
                <w:sz w:val="22"/>
                <w:szCs w:val="22"/>
                <w:lang w:eastAsia="lv-LV"/>
              </w:rPr>
              <w:t>%</w:t>
            </w:r>
          </w:p>
        </w:tc>
        <w:tc>
          <w:tcPr>
            <w:tcW w:w="647" w:type="dxa"/>
            <w:noWrap/>
            <w:hideMark/>
          </w:tcPr>
          <w:p w14:paraId="6CD6EDB0" w14:textId="77777777" w:rsidR="00D04156" w:rsidRPr="00CE68EA" w:rsidRDefault="00D04156" w:rsidP="00D04156">
            <w:pPr>
              <w:spacing w:before="0"/>
              <w:jc w:val="right"/>
              <w:rPr>
                <w:rFonts w:eastAsia="Times New Roman" w:cstheme="minorHAnsi"/>
                <w:sz w:val="22"/>
                <w:szCs w:val="22"/>
                <w:lang w:eastAsia="lv-LV"/>
              </w:rPr>
            </w:pPr>
            <w:r w:rsidRPr="00CE68EA">
              <w:rPr>
                <w:rFonts w:eastAsia="Times New Roman" w:cstheme="minorHAnsi"/>
                <w:sz w:val="22"/>
                <w:szCs w:val="22"/>
                <w:lang w:eastAsia="lv-LV"/>
              </w:rPr>
              <w:t>-1.0</w:t>
            </w:r>
          </w:p>
        </w:tc>
        <w:tc>
          <w:tcPr>
            <w:tcW w:w="920" w:type="dxa"/>
            <w:noWrap/>
            <w:hideMark/>
          </w:tcPr>
          <w:p w14:paraId="0C697433" w14:textId="45E52375" w:rsidR="00D04156" w:rsidRPr="00CE68EA" w:rsidRDefault="00D04156" w:rsidP="00501A62">
            <w:pPr>
              <w:spacing w:before="0"/>
              <w:jc w:val="center"/>
              <w:rPr>
                <w:rFonts w:eastAsia="Times New Roman" w:cstheme="minorHAnsi"/>
                <w:sz w:val="22"/>
                <w:szCs w:val="22"/>
                <w:lang w:eastAsia="lv-LV"/>
              </w:rPr>
            </w:pPr>
            <w:r w:rsidRPr="00CE68EA">
              <w:rPr>
                <w:rFonts w:eastAsia="Times New Roman" w:cstheme="minorHAnsi"/>
                <w:sz w:val="22"/>
                <w:szCs w:val="22"/>
                <w:lang w:eastAsia="lv-LV"/>
              </w:rPr>
              <w:t>-1.</w:t>
            </w:r>
            <w:r w:rsidR="00501A62" w:rsidRPr="00CE68EA">
              <w:rPr>
                <w:rFonts w:eastAsia="Times New Roman" w:cstheme="minorHAnsi"/>
                <w:sz w:val="22"/>
                <w:szCs w:val="22"/>
                <w:lang w:eastAsia="lv-LV"/>
              </w:rPr>
              <w:t>75</w:t>
            </w:r>
            <w:r w:rsidRPr="00CE68EA">
              <w:rPr>
                <w:rFonts w:eastAsia="Times New Roman" w:cstheme="minorHAnsi"/>
                <w:sz w:val="22"/>
                <w:szCs w:val="22"/>
                <w:lang w:eastAsia="lv-LV"/>
              </w:rPr>
              <w:t>%</w:t>
            </w:r>
          </w:p>
        </w:tc>
      </w:tr>
      <w:tr w:rsidR="00D04156" w:rsidRPr="00CE68EA" w14:paraId="43E200AC" w14:textId="77777777" w:rsidTr="00501A62">
        <w:trPr>
          <w:cnfStyle w:val="010000000000" w:firstRow="0" w:lastRow="1" w:firstColumn="0" w:lastColumn="0" w:oddVBand="0" w:evenVBand="0" w:oddHBand="0" w:evenHBand="0" w:firstRowFirstColumn="0" w:firstRowLastColumn="0" w:lastRowFirstColumn="0" w:lastRowLastColumn="0"/>
          <w:trHeight w:val="315"/>
        </w:trPr>
        <w:tc>
          <w:tcPr>
            <w:tcW w:w="2967" w:type="dxa"/>
            <w:hideMark/>
          </w:tcPr>
          <w:p w14:paraId="1ACBD13B" w14:textId="77777777" w:rsidR="00D04156" w:rsidRPr="00CE68EA" w:rsidRDefault="00D04156" w:rsidP="00D04156">
            <w:pPr>
              <w:spacing w:before="0"/>
              <w:jc w:val="left"/>
              <w:rPr>
                <w:rFonts w:eastAsia="Times New Roman" w:cstheme="minorHAnsi"/>
                <w:sz w:val="22"/>
                <w:szCs w:val="22"/>
                <w:lang w:eastAsia="lv-LV"/>
              </w:rPr>
            </w:pPr>
            <w:r w:rsidRPr="00CE68EA">
              <w:rPr>
                <w:rFonts w:eastAsia="Times New Roman" w:cstheme="minorHAnsi"/>
                <w:sz w:val="22"/>
                <w:szCs w:val="22"/>
                <w:lang w:eastAsia="lv-LV"/>
              </w:rPr>
              <w:t>KOPĀ</w:t>
            </w:r>
          </w:p>
        </w:tc>
        <w:tc>
          <w:tcPr>
            <w:tcW w:w="992" w:type="dxa"/>
            <w:noWrap/>
            <w:hideMark/>
          </w:tcPr>
          <w:p w14:paraId="182675D0" w14:textId="6EA85FF5" w:rsidR="00D04156" w:rsidRPr="00CE68EA" w:rsidRDefault="00D04156" w:rsidP="003C552F">
            <w:pPr>
              <w:spacing w:before="0"/>
              <w:jc w:val="right"/>
              <w:rPr>
                <w:rFonts w:eastAsia="Times New Roman" w:cstheme="minorHAnsi"/>
                <w:sz w:val="22"/>
                <w:szCs w:val="22"/>
                <w:lang w:eastAsia="lv-LV"/>
              </w:rPr>
            </w:pPr>
            <w:r w:rsidRPr="00CE68EA">
              <w:rPr>
                <w:rFonts w:eastAsia="Times New Roman" w:cstheme="minorHAnsi"/>
                <w:sz w:val="22"/>
                <w:szCs w:val="22"/>
                <w:lang w:eastAsia="lv-LV"/>
              </w:rPr>
              <w:t>17</w:t>
            </w:r>
            <w:r w:rsidR="003C552F" w:rsidRPr="00CE68EA">
              <w:rPr>
                <w:rFonts w:eastAsia="Times New Roman" w:cstheme="minorHAnsi"/>
                <w:sz w:val="22"/>
                <w:szCs w:val="22"/>
                <w:lang w:eastAsia="lv-LV"/>
              </w:rPr>
              <w:t>7</w:t>
            </w:r>
          </w:p>
        </w:tc>
        <w:tc>
          <w:tcPr>
            <w:tcW w:w="1134" w:type="dxa"/>
            <w:noWrap/>
            <w:hideMark/>
          </w:tcPr>
          <w:p w14:paraId="16827AF1" w14:textId="669D28FF" w:rsidR="00D04156" w:rsidRPr="00CE68EA" w:rsidRDefault="00501A62" w:rsidP="00D04156">
            <w:pPr>
              <w:spacing w:before="0"/>
              <w:jc w:val="right"/>
              <w:rPr>
                <w:rFonts w:eastAsia="Times New Roman" w:cstheme="minorHAnsi"/>
                <w:sz w:val="22"/>
                <w:szCs w:val="22"/>
                <w:lang w:eastAsia="lv-LV"/>
              </w:rPr>
            </w:pPr>
            <w:r w:rsidRPr="00CE68EA">
              <w:rPr>
                <w:rFonts w:eastAsia="Times New Roman" w:cstheme="minorHAnsi"/>
                <w:sz w:val="22"/>
                <w:szCs w:val="22"/>
                <w:lang w:eastAsia="lv-LV"/>
              </w:rPr>
              <w:t>199</w:t>
            </w:r>
          </w:p>
        </w:tc>
        <w:tc>
          <w:tcPr>
            <w:tcW w:w="993" w:type="dxa"/>
            <w:noWrap/>
            <w:hideMark/>
          </w:tcPr>
          <w:p w14:paraId="26B322E1" w14:textId="6E95DCEB" w:rsidR="00D04156" w:rsidRPr="00CE68EA" w:rsidRDefault="00501A62" w:rsidP="00D04156">
            <w:pPr>
              <w:spacing w:before="0"/>
              <w:jc w:val="right"/>
              <w:rPr>
                <w:rFonts w:eastAsia="Times New Roman" w:cstheme="minorHAnsi"/>
                <w:sz w:val="22"/>
                <w:szCs w:val="22"/>
                <w:lang w:eastAsia="lv-LV"/>
              </w:rPr>
            </w:pPr>
            <w:r w:rsidRPr="00CE68EA">
              <w:rPr>
                <w:rFonts w:eastAsia="Times New Roman" w:cstheme="minorHAnsi"/>
                <w:sz w:val="22"/>
                <w:szCs w:val="22"/>
                <w:lang w:eastAsia="lv-LV"/>
              </w:rPr>
              <w:t>197</w:t>
            </w:r>
          </w:p>
        </w:tc>
        <w:tc>
          <w:tcPr>
            <w:tcW w:w="850" w:type="dxa"/>
            <w:noWrap/>
            <w:hideMark/>
          </w:tcPr>
          <w:p w14:paraId="414DD579" w14:textId="5C77189A" w:rsidR="00D04156" w:rsidRPr="00CE68EA" w:rsidRDefault="00501A62" w:rsidP="00501A62">
            <w:pPr>
              <w:spacing w:before="0"/>
              <w:jc w:val="right"/>
              <w:rPr>
                <w:rFonts w:eastAsia="Times New Roman" w:cstheme="minorHAnsi"/>
                <w:sz w:val="22"/>
                <w:szCs w:val="22"/>
                <w:lang w:eastAsia="lv-LV"/>
              </w:rPr>
            </w:pPr>
            <w:r w:rsidRPr="00CE68EA">
              <w:rPr>
                <w:rFonts w:eastAsia="Times New Roman" w:cstheme="minorHAnsi"/>
                <w:sz w:val="22"/>
                <w:szCs w:val="22"/>
                <w:lang w:eastAsia="lv-LV"/>
              </w:rPr>
              <w:t>20</w:t>
            </w:r>
          </w:p>
        </w:tc>
        <w:tc>
          <w:tcPr>
            <w:tcW w:w="997" w:type="dxa"/>
            <w:noWrap/>
            <w:hideMark/>
          </w:tcPr>
          <w:p w14:paraId="62036496" w14:textId="730AE972" w:rsidR="00D04156" w:rsidRPr="00CE68EA" w:rsidRDefault="00501A62" w:rsidP="00D04156">
            <w:pPr>
              <w:spacing w:before="0"/>
              <w:jc w:val="center"/>
              <w:rPr>
                <w:rFonts w:eastAsia="Times New Roman" w:cstheme="minorHAnsi"/>
                <w:sz w:val="22"/>
                <w:szCs w:val="22"/>
                <w:lang w:eastAsia="lv-LV"/>
              </w:rPr>
            </w:pPr>
            <w:r w:rsidRPr="00CE68EA">
              <w:rPr>
                <w:rFonts w:eastAsia="Times New Roman" w:cstheme="minorHAnsi"/>
                <w:sz w:val="22"/>
                <w:szCs w:val="22"/>
                <w:lang w:eastAsia="lv-LV"/>
              </w:rPr>
              <w:t>11,30</w:t>
            </w:r>
            <w:r w:rsidR="00D04156" w:rsidRPr="00CE68EA">
              <w:rPr>
                <w:rFonts w:eastAsia="Times New Roman" w:cstheme="minorHAnsi"/>
                <w:sz w:val="22"/>
                <w:szCs w:val="22"/>
                <w:lang w:eastAsia="lv-LV"/>
              </w:rPr>
              <w:t>%</w:t>
            </w:r>
          </w:p>
        </w:tc>
        <w:tc>
          <w:tcPr>
            <w:tcW w:w="647" w:type="dxa"/>
            <w:noWrap/>
            <w:hideMark/>
          </w:tcPr>
          <w:p w14:paraId="3736C255" w14:textId="114C0BA0" w:rsidR="00D04156" w:rsidRPr="00CE68EA" w:rsidRDefault="00501A62" w:rsidP="00D04156">
            <w:pPr>
              <w:spacing w:before="0"/>
              <w:jc w:val="right"/>
              <w:rPr>
                <w:rFonts w:eastAsia="Times New Roman" w:cstheme="minorHAnsi"/>
                <w:sz w:val="22"/>
                <w:szCs w:val="22"/>
                <w:lang w:eastAsia="lv-LV"/>
              </w:rPr>
            </w:pPr>
            <w:r w:rsidRPr="00CE68EA">
              <w:rPr>
                <w:rFonts w:eastAsia="Times New Roman" w:cstheme="minorHAnsi"/>
                <w:sz w:val="22"/>
                <w:szCs w:val="22"/>
                <w:lang w:eastAsia="lv-LV"/>
              </w:rPr>
              <w:t>-2</w:t>
            </w:r>
          </w:p>
        </w:tc>
        <w:tc>
          <w:tcPr>
            <w:tcW w:w="920" w:type="dxa"/>
            <w:noWrap/>
            <w:hideMark/>
          </w:tcPr>
          <w:p w14:paraId="4ACA09AD" w14:textId="766A9C40" w:rsidR="00D04156" w:rsidRPr="00CE68EA" w:rsidRDefault="00501A62" w:rsidP="00D04156">
            <w:pPr>
              <w:spacing w:before="0"/>
              <w:jc w:val="center"/>
              <w:rPr>
                <w:rFonts w:eastAsia="Times New Roman" w:cstheme="minorHAnsi"/>
                <w:sz w:val="22"/>
                <w:szCs w:val="22"/>
                <w:lang w:eastAsia="lv-LV"/>
              </w:rPr>
            </w:pPr>
            <w:r w:rsidRPr="00CE68EA">
              <w:rPr>
                <w:rFonts w:eastAsia="Times New Roman" w:cstheme="minorHAnsi"/>
                <w:sz w:val="22"/>
                <w:szCs w:val="22"/>
                <w:lang w:eastAsia="lv-LV"/>
              </w:rPr>
              <w:t>-1,01</w:t>
            </w:r>
            <w:r w:rsidR="00D04156" w:rsidRPr="00CE68EA">
              <w:rPr>
                <w:rFonts w:eastAsia="Times New Roman" w:cstheme="minorHAnsi"/>
                <w:sz w:val="22"/>
                <w:szCs w:val="22"/>
                <w:lang w:eastAsia="lv-LV"/>
              </w:rPr>
              <w:t>%</w:t>
            </w:r>
          </w:p>
        </w:tc>
      </w:tr>
    </w:tbl>
    <w:p w14:paraId="68400A97" w14:textId="6D517990" w:rsidR="00C912BF" w:rsidRPr="00CE68EA" w:rsidRDefault="00C912BF" w:rsidP="00131E43">
      <w:pPr>
        <w:rPr>
          <w:rFonts w:cstheme="minorHAnsi"/>
        </w:rPr>
      </w:pPr>
      <w:r w:rsidRPr="00CE68EA">
        <w:rPr>
          <w:rFonts w:cstheme="minorHAnsi"/>
        </w:rPr>
        <w:t>202</w:t>
      </w:r>
      <w:r w:rsidR="007A244D" w:rsidRPr="00CE68EA">
        <w:rPr>
          <w:rFonts w:cstheme="minorHAnsi"/>
        </w:rPr>
        <w:t>5</w:t>
      </w:r>
      <w:r w:rsidRPr="00CE68EA">
        <w:rPr>
          <w:rFonts w:cstheme="minorHAnsi"/>
        </w:rPr>
        <w:t xml:space="preserve">.gada </w:t>
      </w:r>
      <w:r w:rsidR="007A244D" w:rsidRPr="00CE68EA">
        <w:rPr>
          <w:rFonts w:cstheme="minorHAnsi"/>
        </w:rPr>
        <w:t xml:space="preserve">3 </w:t>
      </w:r>
      <w:r w:rsidRPr="00CE68EA">
        <w:rPr>
          <w:rFonts w:cstheme="minorHAnsi"/>
        </w:rPr>
        <w:t>mēnešos Slimnīc</w:t>
      </w:r>
      <w:r w:rsidR="00E7197A" w:rsidRPr="00CE68EA">
        <w:rPr>
          <w:rFonts w:cstheme="minorHAnsi"/>
        </w:rPr>
        <w:t>ā</w:t>
      </w:r>
      <w:r w:rsidRPr="00CE68EA">
        <w:rPr>
          <w:rFonts w:cstheme="minorHAnsi"/>
        </w:rPr>
        <w:t xml:space="preserve"> vidēji ir nodarbināti </w:t>
      </w:r>
      <w:r w:rsidRPr="00CE68EA">
        <w:rPr>
          <w:rFonts w:cstheme="minorHAnsi"/>
          <w:b/>
        </w:rPr>
        <w:t>1</w:t>
      </w:r>
      <w:r w:rsidR="003C552F" w:rsidRPr="00CE68EA">
        <w:rPr>
          <w:rFonts w:cstheme="minorHAnsi"/>
          <w:b/>
        </w:rPr>
        <w:t>97</w:t>
      </w:r>
      <w:r w:rsidRPr="00CE68EA">
        <w:rPr>
          <w:rFonts w:cstheme="minorHAnsi"/>
        </w:rPr>
        <w:t xml:space="preserve"> darbinieki, tai skaitā:</w:t>
      </w:r>
    </w:p>
    <w:p w14:paraId="41BA9C7C" w14:textId="396CD876" w:rsidR="00D04156" w:rsidRPr="00CE68EA" w:rsidRDefault="00D04156" w:rsidP="00131E43">
      <w:pPr>
        <w:pStyle w:val="Sarakstarindkopa"/>
        <w:numPr>
          <w:ilvl w:val="0"/>
          <w:numId w:val="2"/>
        </w:numPr>
        <w:rPr>
          <w:rFonts w:cstheme="minorHAnsi"/>
        </w:rPr>
      </w:pPr>
      <w:r w:rsidRPr="00CE68EA">
        <w:rPr>
          <w:rFonts w:cstheme="minorHAnsi"/>
        </w:rPr>
        <w:t>Ārsti un funkcionālie speciālisti:</w:t>
      </w:r>
    </w:p>
    <w:p w14:paraId="7BE33318" w14:textId="40321F41" w:rsidR="00C912BF" w:rsidRPr="00CE68EA" w:rsidRDefault="00C912BF" w:rsidP="00D04156">
      <w:pPr>
        <w:pStyle w:val="Sarakstarindkopa"/>
        <w:numPr>
          <w:ilvl w:val="1"/>
          <w:numId w:val="2"/>
        </w:numPr>
        <w:rPr>
          <w:rFonts w:cstheme="minorHAnsi"/>
        </w:rPr>
      </w:pPr>
      <w:r w:rsidRPr="00CE68EA">
        <w:rPr>
          <w:rFonts w:cstheme="minorHAnsi"/>
        </w:rPr>
        <w:t>1</w:t>
      </w:r>
      <w:r w:rsidR="003C552F" w:rsidRPr="00CE68EA">
        <w:rPr>
          <w:rFonts w:cstheme="minorHAnsi"/>
        </w:rPr>
        <w:t>5</w:t>
      </w:r>
      <w:r w:rsidRPr="00CE68EA">
        <w:rPr>
          <w:rFonts w:cstheme="minorHAnsi"/>
        </w:rPr>
        <w:t xml:space="preserve"> ārsti;</w:t>
      </w:r>
    </w:p>
    <w:p w14:paraId="562C23AB" w14:textId="77777777" w:rsidR="00C912BF" w:rsidRPr="00CE68EA" w:rsidRDefault="69630B24" w:rsidP="00D04156">
      <w:pPr>
        <w:pStyle w:val="Sarakstarindkopa"/>
        <w:numPr>
          <w:ilvl w:val="1"/>
          <w:numId w:val="2"/>
        </w:numPr>
        <w:rPr>
          <w:rFonts w:cstheme="minorHAnsi"/>
        </w:rPr>
      </w:pPr>
      <w:r w:rsidRPr="00CE68EA">
        <w:rPr>
          <w:rFonts w:cstheme="minorHAnsi"/>
        </w:rPr>
        <w:t xml:space="preserve">14 funkcionālie speciālisti (3 </w:t>
      </w:r>
      <w:proofErr w:type="spellStart"/>
      <w:r w:rsidRPr="00CE68EA">
        <w:rPr>
          <w:rFonts w:cstheme="minorHAnsi"/>
        </w:rPr>
        <w:t>ergoterapeiti</w:t>
      </w:r>
      <w:proofErr w:type="spellEnd"/>
      <w:r w:rsidRPr="00CE68EA">
        <w:rPr>
          <w:rFonts w:cstheme="minorHAnsi"/>
        </w:rPr>
        <w:t xml:space="preserve">, 4 fizioterapeiti, 4 mākslas un mūzikas terapeiti, 2 uztura speciālisti un viens </w:t>
      </w:r>
      <w:proofErr w:type="spellStart"/>
      <w:r w:rsidRPr="00CE68EA">
        <w:rPr>
          <w:rFonts w:cstheme="minorHAnsi"/>
        </w:rPr>
        <w:t>audiologopēds</w:t>
      </w:r>
      <w:proofErr w:type="spellEnd"/>
      <w:r w:rsidRPr="00CE68EA">
        <w:rPr>
          <w:rFonts w:cstheme="minorHAnsi"/>
        </w:rPr>
        <w:t>);</w:t>
      </w:r>
    </w:p>
    <w:p w14:paraId="4BA73398" w14:textId="77777777" w:rsidR="00D04156" w:rsidRPr="00CE68EA" w:rsidRDefault="00D04156" w:rsidP="00131E43">
      <w:pPr>
        <w:pStyle w:val="Sarakstarindkopa"/>
        <w:numPr>
          <w:ilvl w:val="0"/>
          <w:numId w:val="2"/>
        </w:numPr>
        <w:rPr>
          <w:rFonts w:cstheme="minorHAnsi"/>
        </w:rPr>
      </w:pPr>
      <w:r w:rsidRPr="00CE68EA">
        <w:rPr>
          <w:rFonts w:cstheme="minorHAnsi"/>
        </w:rPr>
        <w:t>Ārstniecības un pacientu aprūpes personāls:</w:t>
      </w:r>
    </w:p>
    <w:p w14:paraId="76612C03" w14:textId="3D871856" w:rsidR="00C912BF" w:rsidRPr="00CE68EA" w:rsidRDefault="003C552F" w:rsidP="00D04156">
      <w:pPr>
        <w:pStyle w:val="Sarakstarindkopa"/>
        <w:numPr>
          <w:ilvl w:val="1"/>
          <w:numId w:val="2"/>
        </w:numPr>
        <w:rPr>
          <w:rFonts w:cstheme="minorHAnsi"/>
        </w:rPr>
      </w:pPr>
      <w:r w:rsidRPr="00CE68EA">
        <w:rPr>
          <w:rFonts w:cstheme="minorHAnsi"/>
        </w:rPr>
        <w:t>57</w:t>
      </w:r>
      <w:r w:rsidR="00C912BF" w:rsidRPr="00CE68EA">
        <w:rPr>
          <w:rFonts w:cstheme="minorHAnsi"/>
        </w:rPr>
        <w:t xml:space="preserve"> māsas (</w:t>
      </w:r>
      <w:r w:rsidRPr="00CE68EA">
        <w:rPr>
          <w:rFonts w:cstheme="minorHAnsi"/>
        </w:rPr>
        <w:t>8</w:t>
      </w:r>
      <w:r w:rsidR="00C912BF" w:rsidRPr="00CE68EA">
        <w:rPr>
          <w:rFonts w:cstheme="minorHAnsi"/>
        </w:rPr>
        <w:t xml:space="preserve"> vispārējās aprūpes māsas un 4</w:t>
      </w:r>
      <w:r w:rsidRPr="00CE68EA">
        <w:rPr>
          <w:rFonts w:cstheme="minorHAnsi"/>
        </w:rPr>
        <w:t>9</w:t>
      </w:r>
      <w:r w:rsidR="00C912BF" w:rsidRPr="00CE68EA">
        <w:rPr>
          <w:rFonts w:cstheme="minorHAnsi"/>
        </w:rPr>
        <w:t xml:space="preserve"> sertificētas vispārējās aprūpes māsas psihiatrijā un narkoloģijā);</w:t>
      </w:r>
    </w:p>
    <w:p w14:paraId="70AC4F3C" w14:textId="3658F9CC" w:rsidR="00C912BF" w:rsidRPr="00CE68EA" w:rsidRDefault="00D04156" w:rsidP="00D04156">
      <w:pPr>
        <w:pStyle w:val="Sarakstarindkopa"/>
        <w:numPr>
          <w:ilvl w:val="0"/>
          <w:numId w:val="2"/>
        </w:numPr>
        <w:rPr>
          <w:rFonts w:cstheme="minorHAnsi"/>
        </w:rPr>
      </w:pPr>
      <w:r w:rsidRPr="00CE68EA">
        <w:rPr>
          <w:rFonts w:cstheme="minorHAnsi"/>
        </w:rPr>
        <w:t xml:space="preserve">Ārstniecības un pacientu aprūpes atbalsta personāls – </w:t>
      </w:r>
      <w:r w:rsidR="00C912BF" w:rsidRPr="00CE68EA">
        <w:rPr>
          <w:rFonts w:cstheme="minorHAnsi"/>
        </w:rPr>
        <w:t>4</w:t>
      </w:r>
      <w:r w:rsidR="003C552F" w:rsidRPr="00CE68EA">
        <w:rPr>
          <w:rFonts w:cstheme="minorHAnsi"/>
        </w:rPr>
        <w:t>6</w:t>
      </w:r>
      <w:r w:rsidR="00C912BF" w:rsidRPr="00CE68EA">
        <w:rPr>
          <w:rFonts w:cstheme="minorHAnsi"/>
        </w:rPr>
        <w:t xml:space="preserve"> māsu palīgi;</w:t>
      </w:r>
    </w:p>
    <w:p w14:paraId="24780DC0" w14:textId="2643DF88" w:rsidR="00D04156" w:rsidRPr="00CE68EA" w:rsidRDefault="00D04156" w:rsidP="00D04156">
      <w:pPr>
        <w:pStyle w:val="Sarakstarindkopa"/>
        <w:numPr>
          <w:ilvl w:val="0"/>
          <w:numId w:val="2"/>
        </w:numPr>
        <w:rPr>
          <w:rFonts w:cstheme="minorHAnsi"/>
        </w:rPr>
      </w:pPr>
      <w:r w:rsidRPr="00CE68EA">
        <w:rPr>
          <w:rFonts w:cstheme="minorHAnsi"/>
        </w:rPr>
        <w:t>Administrācija – 9 darbinieki;</w:t>
      </w:r>
    </w:p>
    <w:p w14:paraId="246C8ADF" w14:textId="77777777" w:rsidR="00D04156" w:rsidRPr="00CE68EA" w:rsidRDefault="00D04156" w:rsidP="00131E43">
      <w:pPr>
        <w:pStyle w:val="Sarakstarindkopa"/>
        <w:numPr>
          <w:ilvl w:val="0"/>
          <w:numId w:val="2"/>
        </w:numPr>
        <w:rPr>
          <w:rFonts w:cstheme="minorHAnsi"/>
        </w:rPr>
      </w:pPr>
      <w:r w:rsidRPr="00CE68EA">
        <w:rPr>
          <w:rFonts w:cstheme="minorHAnsi"/>
        </w:rPr>
        <w:t>Pārējais personāls:</w:t>
      </w:r>
    </w:p>
    <w:p w14:paraId="633D761E" w14:textId="77777777" w:rsidR="00D04156" w:rsidRPr="00CE68EA" w:rsidRDefault="00D04156" w:rsidP="00D04156">
      <w:pPr>
        <w:pStyle w:val="Sarakstarindkopa"/>
        <w:numPr>
          <w:ilvl w:val="1"/>
          <w:numId w:val="2"/>
        </w:numPr>
        <w:rPr>
          <w:rFonts w:cstheme="minorHAnsi"/>
        </w:rPr>
      </w:pPr>
      <w:r w:rsidRPr="00CE68EA">
        <w:rPr>
          <w:rFonts w:cstheme="minorHAnsi"/>
        </w:rPr>
        <w:t>7 psihologi (6 klīniskie psihologi un 1 psihoterapijas speciālists);</w:t>
      </w:r>
    </w:p>
    <w:p w14:paraId="1D68B306" w14:textId="0D72DF80" w:rsidR="00C912BF" w:rsidRPr="00CE68EA" w:rsidRDefault="003C552F" w:rsidP="00D04156">
      <w:pPr>
        <w:pStyle w:val="Sarakstarindkopa"/>
        <w:numPr>
          <w:ilvl w:val="1"/>
          <w:numId w:val="2"/>
        </w:numPr>
        <w:rPr>
          <w:rFonts w:cstheme="minorHAnsi"/>
        </w:rPr>
      </w:pPr>
      <w:r w:rsidRPr="00CE68EA">
        <w:rPr>
          <w:rFonts w:cstheme="minorHAnsi"/>
        </w:rPr>
        <w:t>27</w:t>
      </w:r>
      <w:r w:rsidR="00C912BF" w:rsidRPr="00CE68EA">
        <w:rPr>
          <w:rFonts w:cstheme="minorHAnsi"/>
        </w:rPr>
        <w:t xml:space="preserve"> sanitāri;</w:t>
      </w:r>
    </w:p>
    <w:p w14:paraId="54A8BB54" w14:textId="77777777" w:rsidR="00C912BF" w:rsidRPr="00CE68EA" w:rsidRDefault="00C912BF" w:rsidP="00D04156">
      <w:pPr>
        <w:pStyle w:val="Sarakstarindkopa"/>
        <w:numPr>
          <w:ilvl w:val="1"/>
          <w:numId w:val="2"/>
        </w:numPr>
        <w:rPr>
          <w:rFonts w:cstheme="minorHAnsi"/>
        </w:rPr>
      </w:pPr>
      <w:r w:rsidRPr="00CE68EA">
        <w:rPr>
          <w:rFonts w:cstheme="minorHAnsi"/>
        </w:rPr>
        <w:t>12 ārstnieciskā un aprūpes darba atbalsta personāls;</w:t>
      </w:r>
    </w:p>
    <w:p w14:paraId="4C19F9DB" w14:textId="77777777" w:rsidR="00C912BF" w:rsidRPr="00CE68EA" w:rsidRDefault="00C912BF" w:rsidP="00D04156">
      <w:pPr>
        <w:pStyle w:val="Sarakstarindkopa"/>
        <w:numPr>
          <w:ilvl w:val="1"/>
          <w:numId w:val="2"/>
        </w:numPr>
        <w:rPr>
          <w:rFonts w:cstheme="minorHAnsi"/>
        </w:rPr>
      </w:pPr>
      <w:r w:rsidRPr="00CE68EA">
        <w:rPr>
          <w:rFonts w:cstheme="minorHAnsi"/>
        </w:rPr>
        <w:t>10 saimnieciski tehniskais personāls.</w:t>
      </w:r>
    </w:p>
    <w:p w14:paraId="1B932712" w14:textId="77777777" w:rsidR="00C912BF" w:rsidRPr="00CE68EA" w:rsidRDefault="00C912BF" w:rsidP="00E7197A">
      <w:pPr>
        <w:pStyle w:val="Virsraksts2"/>
        <w:rPr>
          <w:rFonts w:cstheme="minorHAnsi"/>
        </w:rPr>
      </w:pPr>
      <w:r w:rsidRPr="00CE68EA">
        <w:rPr>
          <w:rFonts w:cstheme="minorHAnsi"/>
        </w:rPr>
        <w:t>Darbinieku mainība</w:t>
      </w:r>
    </w:p>
    <w:p w14:paraId="25045D95" w14:textId="17177EF4" w:rsidR="003C552F" w:rsidRPr="00CE68EA" w:rsidRDefault="003C552F" w:rsidP="003C552F">
      <w:pPr>
        <w:widowControl w:val="0"/>
        <w:spacing w:after="0" w:line="360" w:lineRule="auto"/>
        <w:ind w:right="-2" w:firstLine="720"/>
        <w:rPr>
          <w:rFonts w:cstheme="minorHAnsi"/>
        </w:rPr>
      </w:pPr>
      <w:r w:rsidRPr="00CE68EA">
        <w:rPr>
          <w:rFonts w:cstheme="minorHAnsi"/>
        </w:rPr>
        <w:t>Salīdzinot vidējo nodarbināto skaitu Slimnīcā 2024. gada trīs mēnešos ar nodarbināto skaitu 2025. gada trīs mēnešos, Slimnīcā nodarbināts par 20 darbiniekiem vairāk, kas saistīts ar jaunas nodaļas – narkoloģijas profila pacientiem – atvēršanu no 2025.gada 1.janvāra</w:t>
      </w:r>
      <w:r w:rsidR="006D6DDC" w:rsidRPr="00CE68EA">
        <w:rPr>
          <w:rFonts w:cstheme="minorHAnsi"/>
        </w:rPr>
        <w:t>.</w:t>
      </w:r>
    </w:p>
    <w:p w14:paraId="3386F253" w14:textId="77777777" w:rsidR="003C552F" w:rsidRPr="00CE68EA" w:rsidRDefault="003C552F" w:rsidP="003C552F">
      <w:pPr>
        <w:widowControl w:val="0"/>
        <w:spacing w:after="0" w:line="360" w:lineRule="auto"/>
        <w:ind w:firstLine="720"/>
        <w:rPr>
          <w:rFonts w:cstheme="minorHAnsi"/>
        </w:rPr>
      </w:pPr>
      <w:r w:rsidRPr="00CE68EA">
        <w:rPr>
          <w:rFonts w:cstheme="minorHAnsi"/>
        </w:rPr>
        <w:t xml:space="preserve">2025. gada trīs mēnešos darba tiesiskās attiecības nodibinātas ar  24 darbiniekiem – tai skaitā ar 22 darbiniekiem 5.nodaļā (narkoloģijas profila pacientiem), kas savu darbību Slimnīcā uzsāka kā </w:t>
      </w:r>
      <w:proofErr w:type="spellStart"/>
      <w:r w:rsidRPr="00CE68EA">
        <w:rPr>
          <w:rFonts w:cstheme="minorHAnsi"/>
        </w:rPr>
        <w:t>jaunizveidota</w:t>
      </w:r>
      <w:proofErr w:type="spellEnd"/>
      <w:r w:rsidRPr="00CE68EA">
        <w:rPr>
          <w:rFonts w:cstheme="minorHAnsi"/>
        </w:rPr>
        <w:t xml:space="preserve"> nodaļa šī gada 1.janvārī, kā arī ar vienu rezidenti bērnu psihiatrijā un vienu sanitāri, kas pašlaik mācās RSU Sarkanā Krusta medicīnas koledžā māsas palīga kvalifikācijas iegūšanai. Darba attiecības 2025. gada trijos mēnešos izbeigtas ar 3 darbiniekiem.</w:t>
      </w:r>
    </w:p>
    <w:p w14:paraId="5B0B21C8" w14:textId="77777777" w:rsidR="003C552F" w:rsidRPr="00CE68EA" w:rsidRDefault="003C552F" w:rsidP="003C552F">
      <w:pPr>
        <w:widowControl w:val="0"/>
        <w:spacing w:after="0" w:line="360" w:lineRule="auto"/>
        <w:ind w:firstLine="720"/>
        <w:rPr>
          <w:rFonts w:cstheme="minorHAnsi"/>
        </w:rPr>
      </w:pPr>
      <w:r w:rsidRPr="00CE68EA">
        <w:rPr>
          <w:rFonts w:cstheme="minorHAnsi"/>
        </w:rPr>
        <w:t xml:space="preserve">Slimnīcā nav personāla nepietiekamības māsu, māsu palīgu, sanitāru un cita ārstniecības atbalsta personāla segmentos, bet ilgstoši ir nepietiekams ārstu skaits, kas ir īpaši aktuāls </w:t>
      </w:r>
      <w:r w:rsidRPr="00CE68EA">
        <w:rPr>
          <w:rFonts w:cstheme="minorHAnsi"/>
        </w:rPr>
        <w:lastRenderedPageBreak/>
        <w:t xml:space="preserve">diennakts dežūru nodrošināšanai Uzņemšanas nodaļā. Lai nodrošinātu Uzņemšanas nodaļas darbu un arī pacientu aprūpes nepārtrauktību stacionāra nodaļās, lielākā daļa ārstu veic virsstundu darbu. </w:t>
      </w:r>
    </w:p>
    <w:p w14:paraId="551BE85F" w14:textId="77777777" w:rsidR="003C552F" w:rsidRPr="00CE68EA" w:rsidRDefault="003C552F" w:rsidP="003C552F">
      <w:pPr>
        <w:widowControl w:val="0"/>
        <w:spacing w:after="0" w:line="360" w:lineRule="auto"/>
        <w:ind w:firstLine="720"/>
        <w:rPr>
          <w:rFonts w:cstheme="minorHAnsi"/>
        </w:rPr>
      </w:pPr>
      <w:r w:rsidRPr="00CE68EA">
        <w:rPr>
          <w:rFonts w:cstheme="minorHAnsi"/>
        </w:rPr>
        <w:t xml:space="preserve">Lai risinātu ārstu nepietiekamā skaita problēmu, regulāri tiek publicēti vakanču sludinājumi gan Slimnīcas mājas lapā </w:t>
      </w:r>
      <w:hyperlink r:id="rId11" w:history="1">
        <w:r w:rsidRPr="00CE68EA">
          <w:rPr>
            <w:rStyle w:val="Hipersaite"/>
            <w:rFonts w:cstheme="minorHAnsi"/>
          </w:rPr>
          <w:t>https://piejurasslimnica.lv/lv/darba-piedavajumi</w:t>
        </w:r>
      </w:hyperlink>
      <w:r w:rsidRPr="00CE68EA">
        <w:rPr>
          <w:rFonts w:cstheme="minorHAnsi"/>
        </w:rPr>
        <w:t xml:space="preserve">, gan Nodarbinātības valsts aģentūras Vakanču portālā, tai skaitā sociālās tīmekļvietnes </w:t>
      </w:r>
      <w:proofErr w:type="spellStart"/>
      <w:r w:rsidRPr="00CE68EA">
        <w:rPr>
          <w:rFonts w:cstheme="minorHAnsi"/>
        </w:rPr>
        <w:t>Facebook</w:t>
      </w:r>
      <w:proofErr w:type="spellEnd"/>
      <w:r w:rsidRPr="00CE68EA">
        <w:rPr>
          <w:rFonts w:cstheme="minorHAnsi"/>
        </w:rPr>
        <w:t xml:space="preserve"> Nodarbinātības valsts aģentūras kontā, kā arī informācija iesniegta Psihiatru asociācijai un nosūtīta Rīgas Stradiņa universitātes Rezidentūras studiju fakultātes dekānei. Slimnīcā ar Liepājas pilsētas Domi izveidots atbalsta pasākumu plāns jaunajiem darbiniekiem, kas ietver dzīvesvietas nodrošināšanu, uzņemot prioritārajā pašvaldības dzīvokļu rindā,  palīdzību sociālo un sadzīvisko jautājumu risināšanā un nodrošinot vietu bērniem pirmsskolas izglītības iestādēs.</w:t>
      </w:r>
    </w:p>
    <w:p w14:paraId="2AAE61E0" w14:textId="77777777" w:rsidR="003C552F" w:rsidRPr="00CE68EA" w:rsidRDefault="003C552F" w:rsidP="003C552F">
      <w:pPr>
        <w:widowControl w:val="0"/>
        <w:spacing w:after="0" w:line="360" w:lineRule="auto"/>
        <w:ind w:firstLine="720"/>
        <w:rPr>
          <w:rFonts w:cstheme="minorHAnsi"/>
        </w:rPr>
      </w:pPr>
      <w:r w:rsidRPr="00CE68EA">
        <w:rPr>
          <w:rFonts w:cstheme="minorHAnsi"/>
        </w:rPr>
        <w:t xml:space="preserve">2025. gada trijos mēnešos Slimnīcā ir šādas ārstu vakances: </w:t>
      </w:r>
    </w:p>
    <w:p w14:paraId="7EED8E49" w14:textId="77777777" w:rsidR="003C552F" w:rsidRPr="00CE68EA" w:rsidRDefault="003C552F" w:rsidP="003C552F">
      <w:pPr>
        <w:widowControl w:val="0"/>
        <w:numPr>
          <w:ilvl w:val="0"/>
          <w:numId w:val="3"/>
        </w:numPr>
        <w:spacing w:before="0" w:after="0" w:line="360" w:lineRule="auto"/>
        <w:rPr>
          <w:rFonts w:cstheme="minorHAnsi"/>
        </w:rPr>
      </w:pPr>
      <w:r w:rsidRPr="00CE68EA">
        <w:rPr>
          <w:rFonts w:cstheme="minorHAnsi"/>
        </w:rPr>
        <w:t>bērnu psihiatrs – 1 vakance;</w:t>
      </w:r>
    </w:p>
    <w:p w14:paraId="7A788465" w14:textId="77777777" w:rsidR="003C552F" w:rsidRPr="00CE68EA" w:rsidRDefault="003C552F" w:rsidP="003C552F">
      <w:pPr>
        <w:widowControl w:val="0"/>
        <w:numPr>
          <w:ilvl w:val="0"/>
          <w:numId w:val="3"/>
        </w:numPr>
        <w:spacing w:before="0" w:after="240" w:line="360" w:lineRule="auto"/>
        <w:rPr>
          <w:rFonts w:cstheme="minorHAnsi"/>
        </w:rPr>
      </w:pPr>
      <w:r w:rsidRPr="00CE68EA">
        <w:rPr>
          <w:rFonts w:cstheme="minorHAnsi"/>
        </w:rPr>
        <w:t>psihiatrs – 7 vakances, tai skaitā ārstiem-stažieriem (3. un 4. gada rezidentiem psihiatrijas studijās), kuri var strādāt visās stacionāra nodaļās sertificēta psihiatra uzraudzībā.</w:t>
      </w:r>
    </w:p>
    <w:p w14:paraId="48B30F3F" w14:textId="77777777" w:rsidR="00C912BF" w:rsidRPr="00CE68EA" w:rsidRDefault="00C912BF" w:rsidP="00E7197A">
      <w:pPr>
        <w:pStyle w:val="Virsraksts2"/>
        <w:rPr>
          <w:rFonts w:cstheme="minorHAnsi"/>
        </w:rPr>
      </w:pPr>
      <w:r w:rsidRPr="00CE68EA">
        <w:rPr>
          <w:rFonts w:cstheme="minorHAnsi"/>
        </w:rPr>
        <w:t>Ārstniecības personu vecuma struktūra</w:t>
      </w:r>
    </w:p>
    <w:p w14:paraId="00C3E828" w14:textId="4CA5D357" w:rsidR="00C56E64" w:rsidRPr="00CE68EA" w:rsidRDefault="004420B9" w:rsidP="004420B9">
      <w:pPr>
        <w:rPr>
          <w:rFonts w:cstheme="minorHAnsi"/>
        </w:rPr>
      </w:pPr>
      <w:r w:rsidRPr="00CE68EA">
        <w:rPr>
          <w:rFonts w:cstheme="minorHAnsi"/>
        </w:rPr>
        <w:t>Ārstniecības personu vecuma struktūra:</w:t>
      </w:r>
    </w:p>
    <w:tbl>
      <w:tblPr>
        <w:tblStyle w:val="Reatabula1gaia-izclums2"/>
        <w:tblW w:w="9501" w:type="dxa"/>
        <w:tblLook w:val="04E0" w:firstRow="1" w:lastRow="1" w:firstColumn="1" w:lastColumn="0" w:noHBand="0" w:noVBand="1"/>
      </w:tblPr>
      <w:tblGrid>
        <w:gridCol w:w="2615"/>
        <w:gridCol w:w="897"/>
        <w:gridCol w:w="990"/>
        <w:gridCol w:w="988"/>
        <w:gridCol w:w="990"/>
        <w:gridCol w:w="987"/>
        <w:gridCol w:w="887"/>
        <w:gridCol w:w="1147"/>
      </w:tblGrid>
      <w:tr w:rsidR="000A5F9F" w:rsidRPr="00CE68EA" w14:paraId="03AC73E2" w14:textId="77777777" w:rsidTr="000A5F9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39" w:type="dxa"/>
            <w:vMerge w:val="restart"/>
            <w:vAlign w:val="center"/>
            <w:hideMark/>
          </w:tcPr>
          <w:p w14:paraId="295504CF" w14:textId="77777777" w:rsidR="000A5F9F" w:rsidRPr="00CE68EA" w:rsidRDefault="000A5F9F" w:rsidP="000A5F9F">
            <w:pPr>
              <w:spacing w:before="0"/>
              <w:jc w:val="center"/>
              <w:rPr>
                <w:rFonts w:eastAsia="Times New Roman" w:cstheme="minorHAnsi"/>
                <w:sz w:val="22"/>
                <w:szCs w:val="22"/>
                <w:lang w:eastAsia="lv-LV"/>
              </w:rPr>
            </w:pPr>
            <w:r w:rsidRPr="00CE68EA">
              <w:rPr>
                <w:rFonts w:eastAsia="Times New Roman" w:cstheme="minorHAnsi"/>
                <w:sz w:val="22"/>
                <w:szCs w:val="22"/>
                <w:lang w:eastAsia="lv-LV"/>
              </w:rPr>
              <w:t>Speciālistu kategorija</w:t>
            </w:r>
          </w:p>
        </w:tc>
        <w:tc>
          <w:tcPr>
            <w:tcW w:w="1892" w:type="dxa"/>
            <w:gridSpan w:val="2"/>
            <w:vAlign w:val="center"/>
            <w:hideMark/>
          </w:tcPr>
          <w:p w14:paraId="3DA639DD" w14:textId="77777777" w:rsidR="000A5F9F" w:rsidRPr="00CE68EA" w:rsidRDefault="000A5F9F" w:rsidP="000A5F9F">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25 - 40</w:t>
            </w:r>
          </w:p>
        </w:tc>
        <w:tc>
          <w:tcPr>
            <w:tcW w:w="1985" w:type="dxa"/>
            <w:gridSpan w:val="2"/>
            <w:vAlign w:val="center"/>
            <w:hideMark/>
          </w:tcPr>
          <w:p w14:paraId="2D06A3C2" w14:textId="77777777" w:rsidR="000A5F9F" w:rsidRPr="00CE68EA" w:rsidRDefault="000A5F9F" w:rsidP="000A5F9F">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41-59</w:t>
            </w:r>
          </w:p>
        </w:tc>
        <w:tc>
          <w:tcPr>
            <w:tcW w:w="1879" w:type="dxa"/>
            <w:gridSpan w:val="2"/>
            <w:vAlign w:val="center"/>
            <w:hideMark/>
          </w:tcPr>
          <w:p w14:paraId="72C52676" w14:textId="77777777" w:rsidR="000A5F9F" w:rsidRPr="00CE68EA" w:rsidRDefault="000A5F9F" w:rsidP="000A5F9F">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60 un vairāk</w:t>
            </w:r>
          </w:p>
        </w:tc>
        <w:tc>
          <w:tcPr>
            <w:tcW w:w="1106" w:type="dxa"/>
            <w:vMerge w:val="restart"/>
            <w:vAlign w:val="center"/>
            <w:hideMark/>
          </w:tcPr>
          <w:p w14:paraId="106166AB" w14:textId="77777777" w:rsidR="000A5F9F" w:rsidRPr="00CE68EA" w:rsidRDefault="000A5F9F" w:rsidP="000A5F9F">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Kopā pa kategoriju</w:t>
            </w:r>
          </w:p>
        </w:tc>
      </w:tr>
      <w:tr w:rsidR="000A5F9F" w:rsidRPr="00CE68EA" w14:paraId="760EB861" w14:textId="77777777" w:rsidTr="000A5F9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39" w:type="dxa"/>
            <w:vMerge/>
            <w:vAlign w:val="center"/>
            <w:hideMark/>
          </w:tcPr>
          <w:p w14:paraId="09E65CB4" w14:textId="77777777" w:rsidR="000A5F9F" w:rsidRPr="00CE68EA" w:rsidRDefault="000A5F9F" w:rsidP="000A5F9F">
            <w:pPr>
              <w:spacing w:before="0"/>
              <w:jc w:val="center"/>
              <w:rPr>
                <w:rFonts w:eastAsia="Times New Roman" w:cstheme="minorHAnsi"/>
                <w:sz w:val="22"/>
                <w:szCs w:val="22"/>
                <w:lang w:eastAsia="lv-LV"/>
              </w:rPr>
            </w:pPr>
          </w:p>
        </w:tc>
        <w:tc>
          <w:tcPr>
            <w:tcW w:w="900" w:type="dxa"/>
            <w:vAlign w:val="center"/>
            <w:hideMark/>
          </w:tcPr>
          <w:p w14:paraId="657F1053" w14:textId="77777777" w:rsidR="000A5F9F" w:rsidRPr="00CE68EA" w:rsidRDefault="000A5F9F" w:rsidP="000A5F9F">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Skaits</w:t>
            </w:r>
          </w:p>
        </w:tc>
        <w:tc>
          <w:tcPr>
            <w:tcW w:w="992" w:type="dxa"/>
            <w:vAlign w:val="center"/>
            <w:hideMark/>
          </w:tcPr>
          <w:p w14:paraId="56A21D10" w14:textId="77777777" w:rsidR="000A5F9F" w:rsidRPr="00CE68EA" w:rsidRDefault="000A5F9F" w:rsidP="000A5F9F">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w:t>
            </w:r>
          </w:p>
        </w:tc>
        <w:tc>
          <w:tcPr>
            <w:tcW w:w="993" w:type="dxa"/>
            <w:vAlign w:val="center"/>
            <w:hideMark/>
          </w:tcPr>
          <w:p w14:paraId="2441D1A5" w14:textId="77777777" w:rsidR="000A5F9F" w:rsidRPr="00CE68EA" w:rsidRDefault="000A5F9F" w:rsidP="000A5F9F">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Skaits</w:t>
            </w:r>
          </w:p>
        </w:tc>
        <w:tc>
          <w:tcPr>
            <w:tcW w:w="992" w:type="dxa"/>
            <w:vAlign w:val="center"/>
            <w:hideMark/>
          </w:tcPr>
          <w:p w14:paraId="0C1470D3" w14:textId="77777777" w:rsidR="000A5F9F" w:rsidRPr="00CE68EA" w:rsidRDefault="000A5F9F" w:rsidP="000A5F9F">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w:t>
            </w:r>
          </w:p>
        </w:tc>
        <w:tc>
          <w:tcPr>
            <w:tcW w:w="992" w:type="dxa"/>
            <w:vAlign w:val="center"/>
            <w:hideMark/>
          </w:tcPr>
          <w:p w14:paraId="073905E1" w14:textId="77777777" w:rsidR="000A5F9F" w:rsidRPr="00CE68EA" w:rsidRDefault="000A5F9F" w:rsidP="000A5F9F">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Skaits</w:t>
            </w:r>
          </w:p>
        </w:tc>
        <w:tc>
          <w:tcPr>
            <w:tcW w:w="887" w:type="dxa"/>
            <w:vAlign w:val="center"/>
            <w:hideMark/>
          </w:tcPr>
          <w:p w14:paraId="31A33732" w14:textId="77777777" w:rsidR="000A5F9F" w:rsidRPr="00CE68EA" w:rsidRDefault="000A5F9F" w:rsidP="000A5F9F">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w:t>
            </w:r>
          </w:p>
        </w:tc>
        <w:tc>
          <w:tcPr>
            <w:tcW w:w="1106" w:type="dxa"/>
            <w:vMerge/>
            <w:vAlign w:val="center"/>
            <w:hideMark/>
          </w:tcPr>
          <w:p w14:paraId="5D894451" w14:textId="77777777" w:rsidR="000A5F9F" w:rsidRPr="00CE68EA" w:rsidRDefault="000A5F9F" w:rsidP="000A5F9F">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p>
        </w:tc>
      </w:tr>
      <w:tr w:rsidR="000A5F9F" w:rsidRPr="00CE68EA" w14:paraId="61B0715F" w14:textId="77777777" w:rsidTr="000A5F9F">
        <w:trPr>
          <w:trHeight w:val="312"/>
        </w:trPr>
        <w:tc>
          <w:tcPr>
            <w:cnfStyle w:val="001000000000" w:firstRow="0" w:lastRow="0" w:firstColumn="1" w:lastColumn="0" w:oddVBand="0" w:evenVBand="0" w:oddHBand="0" w:evenHBand="0" w:firstRowFirstColumn="0" w:firstRowLastColumn="0" w:lastRowFirstColumn="0" w:lastRowLastColumn="0"/>
            <w:tcW w:w="2639" w:type="dxa"/>
            <w:hideMark/>
          </w:tcPr>
          <w:p w14:paraId="2DC46317" w14:textId="77777777" w:rsidR="000A5F9F" w:rsidRPr="00CE68EA" w:rsidRDefault="000A5F9F" w:rsidP="000A5F9F">
            <w:pPr>
              <w:spacing w:before="0"/>
              <w:rPr>
                <w:rFonts w:eastAsia="Times New Roman" w:cstheme="minorHAnsi"/>
                <w:sz w:val="22"/>
                <w:szCs w:val="22"/>
                <w:lang w:eastAsia="lv-LV"/>
              </w:rPr>
            </w:pPr>
            <w:r w:rsidRPr="00CE68EA">
              <w:rPr>
                <w:rFonts w:eastAsia="Times New Roman" w:cstheme="minorHAnsi"/>
                <w:sz w:val="22"/>
                <w:szCs w:val="22"/>
                <w:lang w:eastAsia="lv-LV"/>
              </w:rPr>
              <w:t>Ārsti</w:t>
            </w:r>
          </w:p>
        </w:tc>
        <w:tc>
          <w:tcPr>
            <w:tcW w:w="900" w:type="dxa"/>
            <w:hideMark/>
          </w:tcPr>
          <w:p w14:paraId="621A3AF3" w14:textId="1103F6C1" w:rsidR="000A5F9F" w:rsidRPr="00CE68EA" w:rsidRDefault="00D43E7B" w:rsidP="000A5F9F">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3</w:t>
            </w:r>
          </w:p>
        </w:tc>
        <w:tc>
          <w:tcPr>
            <w:tcW w:w="992" w:type="dxa"/>
            <w:hideMark/>
          </w:tcPr>
          <w:p w14:paraId="23547510" w14:textId="67E8C393" w:rsidR="000A5F9F" w:rsidRPr="00CE68EA" w:rsidRDefault="00D43E7B" w:rsidP="000A5F9F">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20,0</w:t>
            </w:r>
            <w:r w:rsidR="000A5F9F" w:rsidRPr="00CE68EA">
              <w:rPr>
                <w:rFonts w:eastAsia="Times New Roman" w:cstheme="minorHAnsi"/>
                <w:sz w:val="22"/>
                <w:szCs w:val="22"/>
                <w:lang w:eastAsia="lv-LV"/>
              </w:rPr>
              <w:t>%</w:t>
            </w:r>
          </w:p>
        </w:tc>
        <w:tc>
          <w:tcPr>
            <w:tcW w:w="993" w:type="dxa"/>
            <w:hideMark/>
          </w:tcPr>
          <w:p w14:paraId="7A1BB928" w14:textId="65B4C125" w:rsidR="000A5F9F" w:rsidRPr="00CE68EA" w:rsidRDefault="00D43E7B" w:rsidP="000A5F9F">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2</w:t>
            </w:r>
          </w:p>
        </w:tc>
        <w:tc>
          <w:tcPr>
            <w:tcW w:w="992" w:type="dxa"/>
            <w:hideMark/>
          </w:tcPr>
          <w:p w14:paraId="149B2546" w14:textId="67AFA6DE" w:rsidR="000A5F9F" w:rsidRPr="00CE68EA" w:rsidRDefault="00D43E7B" w:rsidP="00D43E7B">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13,3</w:t>
            </w:r>
            <w:r w:rsidR="00F35CDD" w:rsidRPr="00CE68EA">
              <w:rPr>
                <w:rFonts w:eastAsia="Times New Roman" w:cstheme="minorHAnsi"/>
                <w:sz w:val="22"/>
                <w:szCs w:val="22"/>
                <w:lang w:eastAsia="lv-LV"/>
              </w:rPr>
              <w:t>3</w:t>
            </w:r>
            <w:r w:rsidR="000A5F9F" w:rsidRPr="00CE68EA">
              <w:rPr>
                <w:rFonts w:eastAsia="Times New Roman" w:cstheme="minorHAnsi"/>
                <w:sz w:val="22"/>
                <w:szCs w:val="22"/>
                <w:lang w:eastAsia="lv-LV"/>
              </w:rPr>
              <w:t>%</w:t>
            </w:r>
          </w:p>
        </w:tc>
        <w:tc>
          <w:tcPr>
            <w:tcW w:w="992" w:type="dxa"/>
            <w:hideMark/>
          </w:tcPr>
          <w:p w14:paraId="1EF1BE15" w14:textId="7EA89048" w:rsidR="000A5F9F" w:rsidRPr="00CE68EA" w:rsidRDefault="00D43E7B" w:rsidP="000A5F9F">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10</w:t>
            </w:r>
          </w:p>
        </w:tc>
        <w:tc>
          <w:tcPr>
            <w:tcW w:w="887" w:type="dxa"/>
            <w:hideMark/>
          </w:tcPr>
          <w:p w14:paraId="3B15E254" w14:textId="58A193C0" w:rsidR="000A5F9F" w:rsidRPr="00CE68EA" w:rsidRDefault="00D43E7B" w:rsidP="000A5F9F">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66,</w:t>
            </w:r>
            <w:r w:rsidR="00F35CDD" w:rsidRPr="00CE68EA">
              <w:rPr>
                <w:rFonts w:eastAsia="Times New Roman" w:cstheme="minorHAnsi"/>
                <w:sz w:val="22"/>
                <w:szCs w:val="22"/>
                <w:lang w:eastAsia="lv-LV"/>
              </w:rPr>
              <w:t>6</w:t>
            </w:r>
            <w:r w:rsidRPr="00CE68EA">
              <w:rPr>
                <w:rFonts w:eastAsia="Times New Roman" w:cstheme="minorHAnsi"/>
                <w:sz w:val="22"/>
                <w:szCs w:val="22"/>
                <w:lang w:eastAsia="lv-LV"/>
              </w:rPr>
              <w:t>7</w:t>
            </w:r>
            <w:r w:rsidR="000A5F9F" w:rsidRPr="00CE68EA">
              <w:rPr>
                <w:rFonts w:eastAsia="Times New Roman" w:cstheme="minorHAnsi"/>
                <w:sz w:val="22"/>
                <w:szCs w:val="22"/>
                <w:lang w:eastAsia="lv-LV"/>
              </w:rPr>
              <w:t>%</w:t>
            </w:r>
          </w:p>
        </w:tc>
        <w:tc>
          <w:tcPr>
            <w:tcW w:w="1106" w:type="dxa"/>
            <w:hideMark/>
          </w:tcPr>
          <w:p w14:paraId="51987AEB" w14:textId="56D47117" w:rsidR="000A5F9F" w:rsidRPr="00CE68EA" w:rsidRDefault="00D43E7B" w:rsidP="000A5F9F">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15</w:t>
            </w:r>
          </w:p>
        </w:tc>
      </w:tr>
      <w:tr w:rsidR="000A5F9F" w:rsidRPr="00CE68EA" w14:paraId="23CE7FA0" w14:textId="77777777" w:rsidTr="000A5F9F">
        <w:trPr>
          <w:trHeight w:val="300"/>
        </w:trPr>
        <w:tc>
          <w:tcPr>
            <w:cnfStyle w:val="001000000000" w:firstRow="0" w:lastRow="0" w:firstColumn="1" w:lastColumn="0" w:oddVBand="0" w:evenVBand="0" w:oddHBand="0" w:evenHBand="0" w:firstRowFirstColumn="0" w:firstRowLastColumn="0" w:lastRowFirstColumn="0" w:lastRowLastColumn="0"/>
            <w:tcW w:w="2639" w:type="dxa"/>
            <w:hideMark/>
          </w:tcPr>
          <w:p w14:paraId="48FA27D9" w14:textId="77777777" w:rsidR="000A5F9F" w:rsidRPr="00CE68EA" w:rsidRDefault="000A5F9F" w:rsidP="000A5F9F">
            <w:pPr>
              <w:spacing w:before="0"/>
              <w:rPr>
                <w:rFonts w:eastAsia="Times New Roman" w:cstheme="minorHAnsi"/>
                <w:sz w:val="22"/>
                <w:szCs w:val="22"/>
                <w:lang w:eastAsia="lv-LV"/>
              </w:rPr>
            </w:pPr>
            <w:r w:rsidRPr="00CE68EA">
              <w:rPr>
                <w:rFonts w:eastAsia="Times New Roman" w:cstheme="minorHAnsi"/>
                <w:sz w:val="22"/>
                <w:szCs w:val="22"/>
                <w:lang w:eastAsia="lv-LV"/>
              </w:rPr>
              <w:t>Funkcionālie speciālisti</w:t>
            </w:r>
          </w:p>
        </w:tc>
        <w:tc>
          <w:tcPr>
            <w:tcW w:w="900" w:type="dxa"/>
            <w:hideMark/>
          </w:tcPr>
          <w:p w14:paraId="3FD77D9C" w14:textId="77777777" w:rsidR="000A5F9F" w:rsidRPr="00CE68EA" w:rsidRDefault="000A5F9F" w:rsidP="000A5F9F">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9</w:t>
            </w:r>
          </w:p>
        </w:tc>
        <w:tc>
          <w:tcPr>
            <w:tcW w:w="992" w:type="dxa"/>
            <w:hideMark/>
          </w:tcPr>
          <w:p w14:paraId="48FA91FA" w14:textId="25ED2D4B" w:rsidR="000A5F9F" w:rsidRPr="00CE68EA" w:rsidRDefault="00D43E7B" w:rsidP="00F35CD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64,</w:t>
            </w:r>
            <w:r w:rsidR="00F35CDD" w:rsidRPr="00CE68EA">
              <w:rPr>
                <w:rFonts w:eastAsia="Times New Roman" w:cstheme="minorHAnsi"/>
                <w:sz w:val="22"/>
                <w:szCs w:val="22"/>
                <w:lang w:eastAsia="lv-LV"/>
              </w:rPr>
              <w:t>29</w:t>
            </w:r>
            <w:r w:rsidR="000A5F9F" w:rsidRPr="00CE68EA">
              <w:rPr>
                <w:rFonts w:eastAsia="Times New Roman" w:cstheme="minorHAnsi"/>
                <w:sz w:val="22"/>
                <w:szCs w:val="22"/>
                <w:lang w:eastAsia="lv-LV"/>
              </w:rPr>
              <w:t>%</w:t>
            </w:r>
          </w:p>
        </w:tc>
        <w:tc>
          <w:tcPr>
            <w:tcW w:w="993" w:type="dxa"/>
            <w:hideMark/>
          </w:tcPr>
          <w:p w14:paraId="4FBF0886" w14:textId="77777777" w:rsidR="000A5F9F" w:rsidRPr="00CE68EA" w:rsidRDefault="000A5F9F" w:rsidP="000A5F9F">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5</w:t>
            </w:r>
          </w:p>
        </w:tc>
        <w:tc>
          <w:tcPr>
            <w:tcW w:w="992" w:type="dxa"/>
            <w:hideMark/>
          </w:tcPr>
          <w:p w14:paraId="6EB6DB50" w14:textId="3163FF73" w:rsidR="000A5F9F" w:rsidRPr="00CE68EA" w:rsidRDefault="000A5F9F" w:rsidP="000A5F9F">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35.7</w:t>
            </w:r>
            <w:r w:rsidR="00F35CDD" w:rsidRPr="00CE68EA">
              <w:rPr>
                <w:rFonts w:eastAsia="Times New Roman" w:cstheme="minorHAnsi"/>
                <w:sz w:val="22"/>
                <w:szCs w:val="22"/>
                <w:lang w:eastAsia="lv-LV"/>
              </w:rPr>
              <w:t>1</w:t>
            </w:r>
            <w:r w:rsidRPr="00CE68EA">
              <w:rPr>
                <w:rFonts w:eastAsia="Times New Roman" w:cstheme="minorHAnsi"/>
                <w:sz w:val="22"/>
                <w:szCs w:val="22"/>
                <w:lang w:eastAsia="lv-LV"/>
              </w:rPr>
              <w:t>%</w:t>
            </w:r>
          </w:p>
        </w:tc>
        <w:tc>
          <w:tcPr>
            <w:tcW w:w="992" w:type="dxa"/>
            <w:hideMark/>
          </w:tcPr>
          <w:p w14:paraId="780875B5" w14:textId="77777777" w:rsidR="000A5F9F" w:rsidRPr="00CE68EA" w:rsidRDefault="000A5F9F" w:rsidP="000A5F9F">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0</w:t>
            </w:r>
          </w:p>
        </w:tc>
        <w:tc>
          <w:tcPr>
            <w:tcW w:w="887" w:type="dxa"/>
            <w:hideMark/>
          </w:tcPr>
          <w:p w14:paraId="7798A573" w14:textId="77777777" w:rsidR="000A5F9F" w:rsidRPr="00CE68EA" w:rsidRDefault="000A5F9F" w:rsidP="000A5F9F">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0.0%</w:t>
            </w:r>
          </w:p>
        </w:tc>
        <w:tc>
          <w:tcPr>
            <w:tcW w:w="1106" w:type="dxa"/>
            <w:hideMark/>
          </w:tcPr>
          <w:p w14:paraId="361020FE" w14:textId="77777777" w:rsidR="000A5F9F" w:rsidRPr="00CE68EA" w:rsidRDefault="000A5F9F" w:rsidP="000A5F9F">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14</w:t>
            </w:r>
          </w:p>
        </w:tc>
      </w:tr>
      <w:tr w:rsidR="000A5F9F" w:rsidRPr="00CE68EA" w14:paraId="29C42A48" w14:textId="77777777" w:rsidTr="000A5F9F">
        <w:trPr>
          <w:trHeight w:val="300"/>
        </w:trPr>
        <w:tc>
          <w:tcPr>
            <w:cnfStyle w:val="001000000000" w:firstRow="0" w:lastRow="0" w:firstColumn="1" w:lastColumn="0" w:oddVBand="0" w:evenVBand="0" w:oddHBand="0" w:evenHBand="0" w:firstRowFirstColumn="0" w:firstRowLastColumn="0" w:lastRowFirstColumn="0" w:lastRowLastColumn="0"/>
            <w:tcW w:w="2639" w:type="dxa"/>
            <w:hideMark/>
          </w:tcPr>
          <w:p w14:paraId="4402DE50" w14:textId="03F2BBF3" w:rsidR="000A5F9F" w:rsidRPr="00CE68EA" w:rsidRDefault="000A5F9F" w:rsidP="000A5F9F">
            <w:pPr>
              <w:spacing w:before="0"/>
              <w:rPr>
                <w:rFonts w:eastAsia="Times New Roman" w:cstheme="minorHAnsi"/>
                <w:sz w:val="22"/>
                <w:szCs w:val="22"/>
                <w:lang w:eastAsia="lv-LV"/>
              </w:rPr>
            </w:pPr>
            <w:r w:rsidRPr="00CE68EA">
              <w:rPr>
                <w:rFonts w:eastAsia="Times New Roman" w:cstheme="minorHAnsi"/>
                <w:sz w:val="22"/>
                <w:szCs w:val="22"/>
                <w:lang w:eastAsia="lv-LV"/>
              </w:rPr>
              <w:t xml:space="preserve">Māsas </w:t>
            </w:r>
          </w:p>
        </w:tc>
        <w:tc>
          <w:tcPr>
            <w:tcW w:w="900" w:type="dxa"/>
            <w:hideMark/>
          </w:tcPr>
          <w:p w14:paraId="3D177DF3" w14:textId="14745B4F" w:rsidR="000A5F9F" w:rsidRPr="00CE68EA" w:rsidRDefault="00D43E7B" w:rsidP="000A5F9F">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15</w:t>
            </w:r>
          </w:p>
        </w:tc>
        <w:tc>
          <w:tcPr>
            <w:tcW w:w="992" w:type="dxa"/>
            <w:hideMark/>
          </w:tcPr>
          <w:p w14:paraId="4947B9C7" w14:textId="16EF5E68" w:rsidR="000A5F9F" w:rsidRPr="00CE68EA" w:rsidRDefault="00D43E7B" w:rsidP="00D43E7B">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26,3</w:t>
            </w:r>
            <w:r w:rsidR="00F35CDD" w:rsidRPr="00CE68EA">
              <w:rPr>
                <w:rFonts w:eastAsia="Times New Roman" w:cstheme="minorHAnsi"/>
                <w:sz w:val="22"/>
                <w:szCs w:val="22"/>
                <w:lang w:eastAsia="lv-LV"/>
              </w:rPr>
              <w:t>2</w:t>
            </w:r>
            <w:r w:rsidR="000A5F9F" w:rsidRPr="00CE68EA">
              <w:rPr>
                <w:rFonts w:eastAsia="Times New Roman" w:cstheme="minorHAnsi"/>
                <w:sz w:val="22"/>
                <w:szCs w:val="22"/>
                <w:lang w:eastAsia="lv-LV"/>
              </w:rPr>
              <w:t>%</w:t>
            </w:r>
          </w:p>
        </w:tc>
        <w:tc>
          <w:tcPr>
            <w:tcW w:w="993" w:type="dxa"/>
            <w:hideMark/>
          </w:tcPr>
          <w:p w14:paraId="5FAEF3B6" w14:textId="09A15D8A" w:rsidR="000A5F9F" w:rsidRPr="00CE68EA" w:rsidRDefault="00D43E7B" w:rsidP="000A5F9F">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35</w:t>
            </w:r>
          </w:p>
        </w:tc>
        <w:tc>
          <w:tcPr>
            <w:tcW w:w="992" w:type="dxa"/>
            <w:hideMark/>
          </w:tcPr>
          <w:p w14:paraId="55C886F3" w14:textId="644BB458" w:rsidR="000A5F9F" w:rsidRPr="00CE68EA" w:rsidRDefault="00D43E7B" w:rsidP="00D43E7B">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61,4</w:t>
            </w:r>
            <w:r w:rsidR="00F35CDD" w:rsidRPr="00CE68EA">
              <w:rPr>
                <w:rFonts w:eastAsia="Times New Roman" w:cstheme="minorHAnsi"/>
                <w:sz w:val="22"/>
                <w:szCs w:val="22"/>
                <w:lang w:eastAsia="lv-LV"/>
              </w:rPr>
              <w:t>0</w:t>
            </w:r>
            <w:r w:rsidR="000A5F9F" w:rsidRPr="00CE68EA">
              <w:rPr>
                <w:rFonts w:eastAsia="Times New Roman" w:cstheme="minorHAnsi"/>
                <w:sz w:val="22"/>
                <w:szCs w:val="22"/>
                <w:lang w:eastAsia="lv-LV"/>
              </w:rPr>
              <w:t>%</w:t>
            </w:r>
          </w:p>
        </w:tc>
        <w:tc>
          <w:tcPr>
            <w:tcW w:w="992" w:type="dxa"/>
            <w:hideMark/>
          </w:tcPr>
          <w:p w14:paraId="08EDFF75" w14:textId="51949406" w:rsidR="000A5F9F" w:rsidRPr="00CE68EA" w:rsidRDefault="00D43E7B" w:rsidP="000A5F9F">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7</w:t>
            </w:r>
          </w:p>
        </w:tc>
        <w:tc>
          <w:tcPr>
            <w:tcW w:w="887" w:type="dxa"/>
            <w:hideMark/>
          </w:tcPr>
          <w:p w14:paraId="2D6DE38D" w14:textId="325DA5A9" w:rsidR="000A5F9F" w:rsidRPr="00CE68EA" w:rsidRDefault="00D43E7B" w:rsidP="00F35CD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12,</w:t>
            </w:r>
            <w:r w:rsidR="00F35CDD" w:rsidRPr="00CE68EA">
              <w:rPr>
                <w:rFonts w:eastAsia="Times New Roman" w:cstheme="minorHAnsi"/>
                <w:sz w:val="22"/>
                <w:szCs w:val="22"/>
                <w:lang w:eastAsia="lv-LV"/>
              </w:rPr>
              <w:t>28</w:t>
            </w:r>
            <w:r w:rsidR="000A5F9F" w:rsidRPr="00CE68EA">
              <w:rPr>
                <w:rFonts w:eastAsia="Times New Roman" w:cstheme="minorHAnsi"/>
                <w:sz w:val="22"/>
                <w:szCs w:val="22"/>
                <w:lang w:eastAsia="lv-LV"/>
              </w:rPr>
              <w:t>%</w:t>
            </w:r>
          </w:p>
        </w:tc>
        <w:tc>
          <w:tcPr>
            <w:tcW w:w="1106" w:type="dxa"/>
            <w:hideMark/>
          </w:tcPr>
          <w:p w14:paraId="6BBF6CF7" w14:textId="5BFEA7D6" w:rsidR="000A5F9F" w:rsidRPr="00CE68EA" w:rsidRDefault="00D43E7B" w:rsidP="000A5F9F">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57</w:t>
            </w:r>
          </w:p>
        </w:tc>
      </w:tr>
      <w:tr w:rsidR="000A5F9F" w:rsidRPr="00CE68EA" w14:paraId="2C8898D4" w14:textId="77777777" w:rsidTr="000A5F9F">
        <w:trPr>
          <w:trHeight w:val="300"/>
        </w:trPr>
        <w:tc>
          <w:tcPr>
            <w:cnfStyle w:val="001000000000" w:firstRow="0" w:lastRow="0" w:firstColumn="1" w:lastColumn="0" w:oddVBand="0" w:evenVBand="0" w:oddHBand="0" w:evenHBand="0" w:firstRowFirstColumn="0" w:firstRowLastColumn="0" w:lastRowFirstColumn="0" w:lastRowLastColumn="0"/>
            <w:tcW w:w="2639" w:type="dxa"/>
            <w:hideMark/>
          </w:tcPr>
          <w:p w14:paraId="6596CB05" w14:textId="77777777" w:rsidR="000A5F9F" w:rsidRPr="00CE68EA" w:rsidRDefault="000A5F9F" w:rsidP="000A5F9F">
            <w:pPr>
              <w:spacing w:before="0"/>
              <w:rPr>
                <w:rFonts w:eastAsia="Times New Roman" w:cstheme="minorHAnsi"/>
                <w:sz w:val="22"/>
                <w:szCs w:val="22"/>
                <w:lang w:eastAsia="lv-LV"/>
              </w:rPr>
            </w:pPr>
            <w:r w:rsidRPr="00CE68EA">
              <w:rPr>
                <w:rFonts w:eastAsia="Times New Roman" w:cstheme="minorHAnsi"/>
                <w:sz w:val="22"/>
                <w:szCs w:val="22"/>
                <w:lang w:eastAsia="lv-LV"/>
              </w:rPr>
              <w:t>Māsas palīgi</w:t>
            </w:r>
          </w:p>
        </w:tc>
        <w:tc>
          <w:tcPr>
            <w:tcW w:w="900" w:type="dxa"/>
            <w:hideMark/>
          </w:tcPr>
          <w:p w14:paraId="64F767DD" w14:textId="72FE6546" w:rsidR="000A5F9F" w:rsidRPr="00CE68EA" w:rsidRDefault="00D43E7B" w:rsidP="000A5F9F">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5</w:t>
            </w:r>
          </w:p>
        </w:tc>
        <w:tc>
          <w:tcPr>
            <w:tcW w:w="992" w:type="dxa"/>
            <w:hideMark/>
          </w:tcPr>
          <w:p w14:paraId="02587C74" w14:textId="3833AC41" w:rsidR="000A5F9F" w:rsidRPr="00CE68EA" w:rsidRDefault="00D43E7B" w:rsidP="00F35CDD">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10,</w:t>
            </w:r>
            <w:r w:rsidR="00F35CDD" w:rsidRPr="00CE68EA">
              <w:rPr>
                <w:rFonts w:eastAsia="Times New Roman" w:cstheme="minorHAnsi"/>
                <w:sz w:val="22"/>
                <w:szCs w:val="22"/>
                <w:lang w:eastAsia="lv-LV"/>
              </w:rPr>
              <w:t>87</w:t>
            </w:r>
            <w:r w:rsidR="000A5F9F" w:rsidRPr="00CE68EA">
              <w:rPr>
                <w:rFonts w:eastAsia="Times New Roman" w:cstheme="minorHAnsi"/>
                <w:sz w:val="22"/>
                <w:szCs w:val="22"/>
                <w:lang w:eastAsia="lv-LV"/>
              </w:rPr>
              <w:t>%</w:t>
            </w:r>
          </w:p>
        </w:tc>
        <w:tc>
          <w:tcPr>
            <w:tcW w:w="993" w:type="dxa"/>
            <w:hideMark/>
          </w:tcPr>
          <w:p w14:paraId="17AB2896" w14:textId="234AFEDB" w:rsidR="000A5F9F" w:rsidRPr="00CE68EA" w:rsidRDefault="00D43E7B" w:rsidP="000A5F9F">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26</w:t>
            </w:r>
          </w:p>
        </w:tc>
        <w:tc>
          <w:tcPr>
            <w:tcW w:w="992" w:type="dxa"/>
            <w:hideMark/>
          </w:tcPr>
          <w:p w14:paraId="1C40D00C" w14:textId="47527E71" w:rsidR="000A5F9F" w:rsidRPr="00CE68EA" w:rsidRDefault="00D43E7B" w:rsidP="000A5F9F">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56,5</w:t>
            </w:r>
            <w:r w:rsidR="00F35CDD" w:rsidRPr="00CE68EA">
              <w:rPr>
                <w:rFonts w:eastAsia="Times New Roman" w:cstheme="minorHAnsi"/>
                <w:sz w:val="22"/>
                <w:szCs w:val="22"/>
                <w:lang w:eastAsia="lv-LV"/>
              </w:rPr>
              <w:t>2</w:t>
            </w:r>
            <w:r w:rsidR="000A5F9F" w:rsidRPr="00CE68EA">
              <w:rPr>
                <w:rFonts w:eastAsia="Times New Roman" w:cstheme="minorHAnsi"/>
                <w:sz w:val="22"/>
                <w:szCs w:val="22"/>
                <w:lang w:eastAsia="lv-LV"/>
              </w:rPr>
              <w:t>%</w:t>
            </w:r>
          </w:p>
        </w:tc>
        <w:tc>
          <w:tcPr>
            <w:tcW w:w="992" w:type="dxa"/>
            <w:hideMark/>
          </w:tcPr>
          <w:p w14:paraId="7D7A26C2" w14:textId="6995852A" w:rsidR="000A5F9F" w:rsidRPr="00CE68EA" w:rsidRDefault="00D43E7B" w:rsidP="000A5F9F">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15</w:t>
            </w:r>
          </w:p>
        </w:tc>
        <w:tc>
          <w:tcPr>
            <w:tcW w:w="887" w:type="dxa"/>
            <w:hideMark/>
          </w:tcPr>
          <w:p w14:paraId="522DEED7" w14:textId="4DA9019C" w:rsidR="000A5F9F" w:rsidRPr="00CE68EA" w:rsidRDefault="00D43E7B" w:rsidP="000A5F9F">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32,6</w:t>
            </w:r>
            <w:r w:rsidR="00F35CDD" w:rsidRPr="00CE68EA">
              <w:rPr>
                <w:rFonts w:eastAsia="Times New Roman" w:cstheme="minorHAnsi"/>
                <w:sz w:val="22"/>
                <w:szCs w:val="22"/>
                <w:lang w:eastAsia="lv-LV"/>
              </w:rPr>
              <w:t>1</w:t>
            </w:r>
            <w:r w:rsidR="000A5F9F" w:rsidRPr="00CE68EA">
              <w:rPr>
                <w:rFonts w:eastAsia="Times New Roman" w:cstheme="minorHAnsi"/>
                <w:sz w:val="22"/>
                <w:szCs w:val="22"/>
                <w:lang w:eastAsia="lv-LV"/>
              </w:rPr>
              <w:t>%</w:t>
            </w:r>
          </w:p>
        </w:tc>
        <w:tc>
          <w:tcPr>
            <w:tcW w:w="1106" w:type="dxa"/>
            <w:hideMark/>
          </w:tcPr>
          <w:p w14:paraId="47308C71" w14:textId="34E67758" w:rsidR="000A5F9F" w:rsidRPr="00CE68EA" w:rsidRDefault="00D43E7B" w:rsidP="000A5F9F">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46</w:t>
            </w:r>
          </w:p>
        </w:tc>
      </w:tr>
      <w:tr w:rsidR="000A5F9F" w:rsidRPr="00CE68EA" w14:paraId="13932E13" w14:textId="77777777" w:rsidTr="000A5F9F">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39" w:type="dxa"/>
            <w:hideMark/>
          </w:tcPr>
          <w:p w14:paraId="0F5BC553" w14:textId="77777777" w:rsidR="000A5F9F" w:rsidRPr="00CE68EA" w:rsidRDefault="000A5F9F" w:rsidP="000A5F9F">
            <w:pPr>
              <w:spacing w:before="0"/>
              <w:rPr>
                <w:rFonts w:eastAsia="Times New Roman" w:cstheme="minorHAnsi"/>
                <w:sz w:val="22"/>
                <w:szCs w:val="22"/>
                <w:lang w:eastAsia="lv-LV"/>
              </w:rPr>
            </w:pPr>
            <w:r w:rsidRPr="00CE68EA">
              <w:rPr>
                <w:rFonts w:eastAsia="Times New Roman" w:cstheme="minorHAnsi"/>
                <w:sz w:val="22"/>
                <w:szCs w:val="22"/>
                <w:lang w:eastAsia="lv-LV"/>
              </w:rPr>
              <w:t>KOPĀ</w:t>
            </w:r>
          </w:p>
        </w:tc>
        <w:tc>
          <w:tcPr>
            <w:tcW w:w="900" w:type="dxa"/>
            <w:hideMark/>
          </w:tcPr>
          <w:p w14:paraId="4EADBF7E" w14:textId="68F2F344" w:rsidR="000A5F9F" w:rsidRPr="00CE68EA" w:rsidRDefault="00D43E7B" w:rsidP="000A5F9F">
            <w:pPr>
              <w:spacing w:before="0"/>
              <w:jc w:val="center"/>
              <w:cnfStyle w:val="010000000000" w:firstRow="0" w:lastRow="1"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32</w:t>
            </w:r>
          </w:p>
        </w:tc>
        <w:tc>
          <w:tcPr>
            <w:tcW w:w="992" w:type="dxa"/>
            <w:hideMark/>
          </w:tcPr>
          <w:p w14:paraId="7A982368" w14:textId="49C54FCB" w:rsidR="000A5F9F" w:rsidRPr="00CE68EA" w:rsidRDefault="000A5F9F" w:rsidP="00D43E7B">
            <w:pPr>
              <w:spacing w:before="0"/>
              <w:jc w:val="center"/>
              <w:cnfStyle w:val="010000000000" w:firstRow="0" w:lastRow="1"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24.</w:t>
            </w:r>
            <w:r w:rsidR="00D43E7B" w:rsidRPr="00CE68EA">
              <w:rPr>
                <w:rFonts w:eastAsia="Times New Roman" w:cstheme="minorHAnsi"/>
                <w:sz w:val="22"/>
                <w:szCs w:val="22"/>
                <w:lang w:eastAsia="lv-LV"/>
              </w:rPr>
              <w:t>24</w:t>
            </w:r>
            <w:r w:rsidRPr="00CE68EA">
              <w:rPr>
                <w:rFonts w:eastAsia="Times New Roman" w:cstheme="minorHAnsi"/>
                <w:sz w:val="22"/>
                <w:szCs w:val="22"/>
                <w:lang w:eastAsia="lv-LV"/>
              </w:rPr>
              <w:t>%</w:t>
            </w:r>
          </w:p>
        </w:tc>
        <w:tc>
          <w:tcPr>
            <w:tcW w:w="993" w:type="dxa"/>
            <w:hideMark/>
          </w:tcPr>
          <w:p w14:paraId="3993366E" w14:textId="04FBD3B9" w:rsidR="000A5F9F" w:rsidRPr="00CE68EA" w:rsidRDefault="00D43E7B" w:rsidP="000A5F9F">
            <w:pPr>
              <w:spacing w:before="0"/>
              <w:jc w:val="center"/>
              <w:cnfStyle w:val="010000000000" w:firstRow="0" w:lastRow="1"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68</w:t>
            </w:r>
          </w:p>
        </w:tc>
        <w:tc>
          <w:tcPr>
            <w:tcW w:w="992" w:type="dxa"/>
            <w:hideMark/>
          </w:tcPr>
          <w:p w14:paraId="5F9BF84B" w14:textId="3192F883" w:rsidR="000A5F9F" w:rsidRPr="00CE68EA" w:rsidRDefault="00D43E7B" w:rsidP="000A5F9F">
            <w:pPr>
              <w:spacing w:before="0"/>
              <w:jc w:val="center"/>
              <w:cnfStyle w:val="010000000000" w:firstRow="0" w:lastRow="1"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51,52</w:t>
            </w:r>
            <w:r w:rsidR="000A5F9F" w:rsidRPr="00CE68EA">
              <w:rPr>
                <w:rFonts w:eastAsia="Times New Roman" w:cstheme="minorHAnsi"/>
                <w:sz w:val="22"/>
                <w:szCs w:val="22"/>
                <w:lang w:eastAsia="lv-LV"/>
              </w:rPr>
              <w:t>%</w:t>
            </w:r>
          </w:p>
        </w:tc>
        <w:tc>
          <w:tcPr>
            <w:tcW w:w="992" w:type="dxa"/>
            <w:hideMark/>
          </w:tcPr>
          <w:p w14:paraId="7D914962" w14:textId="37244B88" w:rsidR="000A5F9F" w:rsidRPr="00CE68EA" w:rsidRDefault="00D43E7B" w:rsidP="000A5F9F">
            <w:pPr>
              <w:spacing w:before="0"/>
              <w:jc w:val="center"/>
              <w:cnfStyle w:val="010000000000" w:firstRow="0" w:lastRow="1"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32</w:t>
            </w:r>
          </w:p>
        </w:tc>
        <w:tc>
          <w:tcPr>
            <w:tcW w:w="887" w:type="dxa"/>
            <w:hideMark/>
          </w:tcPr>
          <w:p w14:paraId="49B92345" w14:textId="3B640EC2" w:rsidR="000A5F9F" w:rsidRPr="00CE68EA" w:rsidRDefault="00D43E7B" w:rsidP="00D43E7B">
            <w:pPr>
              <w:spacing w:before="0"/>
              <w:jc w:val="center"/>
              <w:cnfStyle w:val="010000000000" w:firstRow="0" w:lastRow="1"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24,24</w:t>
            </w:r>
            <w:r w:rsidR="000A5F9F" w:rsidRPr="00CE68EA">
              <w:rPr>
                <w:rFonts w:eastAsia="Times New Roman" w:cstheme="minorHAnsi"/>
                <w:sz w:val="22"/>
                <w:szCs w:val="22"/>
                <w:lang w:eastAsia="lv-LV"/>
              </w:rPr>
              <w:t>%</w:t>
            </w:r>
          </w:p>
        </w:tc>
        <w:tc>
          <w:tcPr>
            <w:tcW w:w="1106" w:type="dxa"/>
            <w:hideMark/>
          </w:tcPr>
          <w:p w14:paraId="5E8AF2D8" w14:textId="56879A88" w:rsidR="000A5F9F" w:rsidRPr="00CE68EA" w:rsidRDefault="00D43E7B" w:rsidP="000A5F9F">
            <w:pPr>
              <w:spacing w:before="0"/>
              <w:jc w:val="center"/>
              <w:cnfStyle w:val="010000000000" w:firstRow="0" w:lastRow="1" w:firstColumn="0" w:lastColumn="0" w:oddVBand="0" w:evenVBand="0" w:oddHBand="0" w:evenHBand="0" w:firstRowFirstColumn="0" w:firstRowLastColumn="0" w:lastRowFirstColumn="0" w:lastRowLastColumn="0"/>
              <w:rPr>
                <w:rFonts w:eastAsia="Times New Roman" w:cstheme="minorHAnsi"/>
                <w:sz w:val="22"/>
                <w:szCs w:val="22"/>
                <w:lang w:eastAsia="lv-LV"/>
              </w:rPr>
            </w:pPr>
            <w:r w:rsidRPr="00CE68EA">
              <w:rPr>
                <w:rFonts w:eastAsia="Times New Roman" w:cstheme="minorHAnsi"/>
                <w:sz w:val="22"/>
                <w:szCs w:val="22"/>
                <w:lang w:eastAsia="lv-LV"/>
              </w:rPr>
              <w:t>132</w:t>
            </w:r>
          </w:p>
        </w:tc>
      </w:tr>
    </w:tbl>
    <w:p w14:paraId="7EB954B6" w14:textId="2F0AE44A" w:rsidR="00C912BF" w:rsidRPr="00CE68EA" w:rsidRDefault="000D18EF" w:rsidP="00131E43">
      <w:pPr>
        <w:rPr>
          <w:rFonts w:cstheme="minorHAnsi"/>
        </w:rPr>
      </w:pPr>
      <w:r w:rsidRPr="00CE68EA">
        <w:rPr>
          <w:rFonts w:cstheme="minorHAnsi"/>
        </w:rPr>
        <w:t xml:space="preserve">Slimnīcā </w:t>
      </w:r>
      <w:r w:rsidR="00C912BF" w:rsidRPr="00CE68EA">
        <w:rPr>
          <w:rFonts w:cstheme="minorHAnsi"/>
        </w:rPr>
        <w:t>202</w:t>
      </w:r>
      <w:r w:rsidR="00D43E7B" w:rsidRPr="00CE68EA">
        <w:rPr>
          <w:rFonts w:cstheme="minorHAnsi"/>
        </w:rPr>
        <w:t>5</w:t>
      </w:r>
      <w:r w:rsidR="00C912BF" w:rsidRPr="00CE68EA">
        <w:rPr>
          <w:rFonts w:cstheme="minorHAnsi"/>
        </w:rPr>
        <w:t>.gad</w:t>
      </w:r>
      <w:r w:rsidRPr="00CE68EA">
        <w:rPr>
          <w:rFonts w:cstheme="minorHAnsi"/>
        </w:rPr>
        <w:t>ā</w:t>
      </w:r>
      <w:r w:rsidR="00C912BF" w:rsidRPr="00CE68EA">
        <w:rPr>
          <w:rFonts w:cstheme="minorHAnsi"/>
        </w:rPr>
        <w:t xml:space="preserve"> </w:t>
      </w:r>
      <w:r w:rsidR="00F35CDD" w:rsidRPr="00CE68EA">
        <w:rPr>
          <w:rFonts w:cstheme="minorHAnsi"/>
        </w:rPr>
        <w:t xml:space="preserve">3 mēnešos </w:t>
      </w:r>
      <w:r w:rsidRPr="00CE68EA">
        <w:rPr>
          <w:rFonts w:cstheme="minorHAnsi"/>
        </w:rPr>
        <w:t xml:space="preserve">par </w:t>
      </w:r>
      <w:r w:rsidR="00F35CDD" w:rsidRPr="00CE68EA">
        <w:rPr>
          <w:rFonts w:cstheme="minorHAnsi"/>
        </w:rPr>
        <w:t>2,49</w:t>
      </w:r>
      <w:r w:rsidRPr="00CE68EA">
        <w:rPr>
          <w:rFonts w:cstheme="minorHAnsi"/>
        </w:rPr>
        <w:t xml:space="preserve"> % samazinājās</w:t>
      </w:r>
      <w:r w:rsidR="00C912BF" w:rsidRPr="00CE68EA">
        <w:rPr>
          <w:rFonts w:cstheme="minorHAnsi"/>
        </w:rPr>
        <w:t xml:space="preserve"> 25 līdz 40 gadus veco ārstniecības personu īpatsvars no kopējā ārstniecības personu.</w:t>
      </w:r>
      <w:r w:rsidR="00D460F7" w:rsidRPr="00CE68EA">
        <w:rPr>
          <w:rFonts w:cstheme="minorHAnsi"/>
        </w:rPr>
        <w:t xml:space="preserve"> </w:t>
      </w:r>
      <w:r w:rsidR="00C912BF" w:rsidRPr="00CE68EA">
        <w:rPr>
          <w:rFonts w:cstheme="minorHAnsi"/>
        </w:rPr>
        <w:t xml:space="preserve">Ārstniecības personu īpatsvars vecuma grupā no 41 līdz 59 gadiem ir par </w:t>
      </w:r>
      <w:r w:rsidR="00F35CDD" w:rsidRPr="00CE68EA">
        <w:rPr>
          <w:rFonts w:cstheme="minorHAnsi"/>
        </w:rPr>
        <w:t>0,2</w:t>
      </w:r>
      <w:r w:rsidR="00F50B00" w:rsidRPr="00CE68EA">
        <w:rPr>
          <w:rFonts w:cstheme="minorHAnsi"/>
        </w:rPr>
        <w:t xml:space="preserve"> </w:t>
      </w:r>
      <w:r w:rsidR="00C912BF" w:rsidRPr="00CE68EA">
        <w:rPr>
          <w:rFonts w:cstheme="minorHAnsi"/>
        </w:rPr>
        <w:t xml:space="preserve">% </w:t>
      </w:r>
      <w:r w:rsidR="00F35CDD" w:rsidRPr="00CE68EA">
        <w:rPr>
          <w:rFonts w:cstheme="minorHAnsi"/>
        </w:rPr>
        <w:t>mazāk</w:t>
      </w:r>
      <w:r w:rsidR="00C912BF" w:rsidRPr="00CE68EA">
        <w:rPr>
          <w:rFonts w:cstheme="minorHAnsi"/>
        </w:rPr>
        <w:t xml:space="preserve"> kā 202</w:t>
      </w:r>
      <w:r w:rsidR="00F35CDD" w:rsidRPr="00CE68EA">
        <w:rPr>
          <w:rFonts w:cstheme="minorHAnsi"/>
        </w:rPr>
        <w:t>4</w:t>
      </w:r>
      <w:r w:rsidR="00C912BF" w:rsidRPr="00CE68EA">
        <w:rPr>
          <w:rFonts w:cstheme="minorHAnsi"/>
        </w:rPr>
        <w:t xml:space="preserve">. gada </w:t>
      </w:r>
      <w:r w:rsidR="00F35CDD" w:rsidRPr="00CE68EA">
        <w:rPr>
          <w:rFonts w:cstheme="minorHAnsi"/>
        </w:rPr>
        <w:t>3</w:t>
      </w:r>
      <w:r w:rsidR="00C912BF" w:rsidRPr="00CE68EA">
        <w:rPr>
          <w:rFonts w:cstheme="minorHAnsi"/>
        </w:rPr>
        <w:t xml:space="preserve"> mēnešos</w:t>
      </w:r>
      <w:r w:rsidR="009D561C" w:rsidRPr="00CE68EA">
        <w:rPr>
          <w:rFonts w:cstheme="minorHAnsi"/>
        </w:rPr>
        <w:t>, savukārt n</w:t>
      </w:r>
      <w:r w:rsidR="00C912BF" w:rsidRPr="00CE68EA">
        <w:rPr>
          <w:rFonts w:cstheme="minorHAnsi"/>
        </w:rPr>
        <w:t xml:space="preserve">odarbināto ārstniecības personu vecuma grupā virs 60 gadiem </w:t>
      </w:r>
      <w:r w:rsidR="00F35CDD" w:rsidRPr="00CE68EA">
        <w:rPr>
          <w:rFonts w:cstheme="minorHAnsi"/>
        </w:rPr>
        <w:t>ir par 2,69% vairāk kā 2024.gada trijos mēnešos.</w:t>
      </w:r>
    </w:p>
    <w:p w14:paraId="340EC2BA" w14:textId="77777777" w:rsidR="00F35CDD" w:rsidRPr="00CE68EA" w:rsidRDefault="00F35CDD" w:rsidP="00F35CDD">
      <w:pPr>
        <w:widowControl w:val="0"/>
        <w:spacing w:after="240"/>
        <w:rPr>
          <w:rFonts w:cstheme="minorHAnsi"/>
        </w:rPr>
      </w:pPr>
      <w:r w:rsidRPr="00CE68EA">
        <w:rPr>
          <w:rFonts w:cstheme="minorHAnsi"/>
        </w:rPr>
        <w:t xml:space="preserve">Lai risinātu ārstu novecošanās problēmu, tiek meklētas iespējas piesaistīt jaunos speciālistus. Pašlaik Slimnīcā nodarbināts viens ārsts, kurš psihiatra kvalifikāciju ieguvis 2025.gada februārī, un viena ārste, kas psihiatra kvalifikāciju ieguvusi 2024.gadā, - abi šie speciālisti studēja Rīgas Stradiņa universitātē ar Liepājas </w:t>
      </w:r>
      <w:proofErr w:type="spellStart"/>
      <w:r w:rsidRPr="00CE68EA">
        <w:rPr>
          <w:rFonts w:cstheme="minorHAnsi"/>
        </w:rPr>
        <w:t>valstspilsētas</w:t>
      </w:r>
      <w:proofErr w:type="spellEnd"/>
      <w:r w:rsidRPr="00CE68EA">
        <w:rPr>
          <w:rFonts w:cstheme="minorHAnsi"/>
        </w:rPr>
        <w:t xml:space="preserve"> domes stipendijām un viņiem bija garantēta darba vieta </w:t>
      </w:r>
      <w:r w:rsidRPr="00CE68EA">
        <w:rPr>
          <w:rFonts w:cstheme="minorHAnsi"/>
        </w:rPr>
        <w:lastRenderedPageBreak/>
        <w:t>Slimnīcā pēc sekmīgas studiju absolvēšanas.  Kopš 2023.gada otrās puses Slimnīcā strādā arī ārsts no Ukrainas ar psihiatra un narkologa kvalifikācijām.</w:t>
      </w:r>
    </w:p>
    <w:p w14:paraId="63ED17EB" w14:textId="77777777" w:rsidR="00C912BF" w:rsidRPr="00CE68EA" w:rsidRDefault="00C912BF" w:rsidP="00E7197A">
      <w:pPr>
        <w:pStyle w:val="Virsraksts2"/>
        <w:rPr>
          <w:rFonts w:cstheme="minorHAnsi"/>
        </w:rPr>
      </w:pPr>
      <w:r w:rsidRPr="00CE68EA">
        <w:rPr>
          <w:rFonts w:cstheme="minorHAnsi"/>
        </w:rPr>
        <w:t>Virsstundu darba rādītāji</w:t>
      </w:r>
    </w:p>
    <w:p w14:paraId="43FCE5C8" w14:textId="77777777" w:rsidR="00F35CDD" w:rsidRPr="00CE68EA" w:rsidRDefault="00F35CDD" w:rsidP="00F35CDD">
      <w:pPr>
        <w:widowControl w:val="0"/>
        <w:spacing w:after="240"/>
        <w:rPr>
          <w:rFonts w:cstheme="minorHAnsi"/>
        </w:rPr>
      </w:pPr>
      <w:r w:rsidRPr="00CE68EA">
        <w:rPr>
          <w:rFonts w:cstheme="minorHAnsi"/>
        </w:rPr>
        <w:t xml:space="preserve">Lai Slimnīcā nodrošinātu Uzņemšanas nodaļas un pacientu aprūpes darbu diennakts režīmā un kompensētu nepietiekamo dežūrārstu skaitu, daļa Slimnīcā nodarbināto ārstu ik mēnesi veic virsstundu darbu. 2025. gada trīs mēnešos ir nostrādātas vidēji 121.08 virsstundas uz vienu virsstundu darbā nodarbināto ārstu, un virsstundu darbā nodarbināto ārstu īpatsvars ir 35.54 % no kopējā ārstu skaita. </w:t>
      </w:r>
    </w:p>
    <w:p w14:paraId="58080451" w14:textId="77777777" w:rsidR="00F35CDD" w:rsidRPr="00CE68EA" w:rsidRDefault="00F35CDD" w:rsidP="00F35CDD">
      <w:pPr>
        <w:widowControl w:val="0"/>
        <w:spacing w:after="240"/>
        <w:rPr>
          <w:rFonts w:cstheme="minorHAnsi"/>
        </w:rPr>
      </w:pPr>
      <w:r w:rsidRPr="00CE68EA">
        <w:rPr>
          <w:rFonts w:cstheme="minorHAnsi"/>
        </w:rPr>
        <w:t>Māsu un māsu palīgu skaits ir pietiekošs visu pakalpojumu nodrošināšanai, bet šajās ārstniecības personu kategorijās virsstundu darbs veidojas periodiski, aizvietojot ilgstošā darbnespējā vai atvaļinājumā esošos darbiniekus. 2025. gada trīs mēnešos virsstundu darbā bija nodarbinātas 28,07 % māsu un 42,76 % māsu palīgu no kopējā skaita.</w:t>
      </w:r>
    </w:p>
    <w:p w14:paraId="469A8F63" w14:textId="77777777" w:rsidR="00F35CDD" w:rsidRPr="00CE68EA" w:rsidRDefault="00F35CDD" w:rsidP="00F35CDD">
      <w:pPr>
        <w:widowControl w:val="0"/>
        <w:spacing w:after="240"/>
        <w:rPr>
          <w:rFonts w:cstheme="minorHAnsi"/>
        </w:rPr>
      </w:pPr>
      <w:r w:rsidRPr="00CE68EA">
        <w:rPr>
          <w:rFonts w:cstheme="minorHAnsi"/>
        </w:rPr>
        <w:t>Vidējais virsstundu skaits uz vienu virsstundu darbā nodarbināto ārstniecības personu  2025.gada trīs mēnešos ir 26,97stundas, un ārstniecības personu, kas veic virsstundu darbu, īpatsvars no kopējā ārstniecības personu skaita šajā periodā ir 31,07 % .</w:t>
      </w:r>
    </w:p>
    <w:p w14:paraId="71322779" w14:textId="77777777" w:rsidR="00C912BF" w:rsidRPr="00CE68EA" w:rsidRDefault="00C912BF" w:rsidP="00E7197A">
      <w:pPr>
        <w:pStyle w:val="Virsraksts2"/>
        <w:rPr>
          <w:rFonts w:cstheme="minorHAnsi"/>
        </w:rPr>
      </w:pPr>
      <w:r w:rsidRPr="00CE68EA">
        <w:rPr>
          <w:rFonts w:cstheme="minorHAnsi"/>
        </w:rPr>
        <w:t>Kvalifikācijas paaugstināšana un tālākizglītība</w:t>
      </w:r>
    </w:p>
    <w:p w14:paraId="5BD915FA" w14:textId="77777777" w:rsidR="00F35CDD" w:rsidRPr="00CE68EA" w:rsidRDefault="00F35CDD" w:rsidP="00F35CDD">
      <w:pPr>
        <w:widowControl w:val="0"/>
        <w:spacing w:after="240"/>
        <w:rPr>
          <w:rFonts w:cstheme="minorHAnsi"/>
        </w:rPr>
      </w:pPr>
      <w:r w:rsidRPr="00CE68EA">
        <w:rPr>
          <w:rFonts w:cstheme="minorHAnsi"/>
        </w:rPr>
        <w:t>Ārstiem, funkcionālajiem speciālistiem, māsām un māsu palīgiem ir svarīgi nodrošināt pastāvīgu tālākizglītību, lai uzlabotu darba pienākumu pildīšanai nepieciešamās iemaņas un zināšanas vai apgūtu inovatīvas darba metodes un sniegtu kvalificētus ārstniecības un aprūpes pakalpojumus. Ārstniecības un pacientu aprūpes personāls regulāri piedalās profesionālo asociāciju un apvienību rīkotajos tālākizglītības pasākumos, kā arī šādi pasākumi (mācības) periodiski tiek rīkoti Slimnīcā, nodrošinot darbiniekiem iespēju papildināt un aktualizēt profesionālās zināšanas un iemaņas tuvu dzīvesvietai.</w:t>
      </w:r>
    </w:p>
    <w:p w14:paraId="322CFF13" w14:textId="77777777" w:rsidR="00F35CDD" w:rsidRPr="00CE68EA" w:rsidRDefault="00F35CDD" w:rsidP="00F35CDD">
      <w:pPr>
        <w:widowControl w:val="0"/>
        <w:spacing w:after="240"/>
        <w:rPr>
          <w:rFonts w:cstheme="minorHAnsi"/>
        </w:rPr>
      </w:pPr>
      <w:r w:rsidRPr="00CE68EA">
        <w:rPr>
          <w:rFonts w:cstheme="minorHAnsi"/>
        </w:rPr>
        <w:t>Pēdējos piecos gados Slimnīcā nodarbinātie sanitāri aktīvi izmanto iespēju mācīties Rīgas Stradiņa universitātes Sarkanā Krusta medicīnas koledžā un iegūt māsas palīga kvalifikāciju. Laikā no 2019. līdz 2024. gadam māsas palīga kvalifikāciju ir ieguvuši 25 Slimnīcā nodarbinātie sanitāri.  2024./2025. mācību gadā vēl seši sanitāri uzsākuši mācības māsas palīga kvalifikācijas iegūšanai.</w:t>
      </w:r>
    </w:p>
    <w:p w14:paraId="03423AEC" w14:textId="77777777" w:rsidR="00F35CDD" w:rsidRPr="00CE68EA" w:rsidRDefault="00F35CDD" w:rsidP="00F35CDD">
      <w:pPr>
        <w:widowControl w:val="0"/>
        <w:spacing w:after="240"/>
        <w:rPr>
          <w:rFonts w:cstheme="minorHAnsi"/>
        </w:rPr>
      </w:pPr>
      <w:r w:rsidRPr="00CE68EA">
        <w:rPr>
          <w:rFonts w:cstheme="minorHAnsi"/>
        </w:rPr>
        <w:t xml:space="preserve">Slimnīcas galvenā ārste turpina izglītību Rīgas Stradiņa universitātes doktorantūras studijās. </w:t>
      </w:r>
    </w:p>
    <w:p w14:paraId="637223DB" w14:textId="77777777" w:rsidR="00C912BF" w:rsidRPr="00CE68EA" w:rsidRDefault="00C912BF" w:rsidP="00E7197A">
      <w:pPr>
        <w:pStyle w:val="Virsraksts1"/>
        <w:rPr>
          <w:rFonts w:cstheme="minorHAnsi"/>
        </w:rPr>
      </w:pPr>
      <w:r w:rsidRPr="00CE68EA">
        <w:rPr>
          <w:rFonts w:cstheme="minorHAnsi"/>
        </w:rPr>
        <w:t>Ieteikumi turpmākās darbības uzlabošanai un risku mazināšanai</w:t>
      </w:r>
    </w:p>
    <w:p w14:paraId="2FDEE7CB" w14:textId="433C5109" w:rsidR="00D04156" w:rsidRPr="00CE68EA" w:rsidRDefault="001244E8" w:rsidP="001244E8">
      <w:pPr>
        <w:rPr>
          <w:rFonts w:cstheme="minorHAnsi"/>
          <w:color w:val="000000" w:themeColor="text1"/>
        </w:rPr>
      </w:pPr>
      <w:r w:rsidRPr="00CE68EA">
        <w:rPr>
          <w:rFonts w:cstheme="minorHAnsi"/>
          <w:color w:val="000000" w:themeColor="text1"/>
        </w:rPr>
        <w:t>Lai uzlabotu Slimnīcas darbību un mazinātu Slimnīcas darbību ietekmējošos riska faktorus, 2025.gadā plānots realizēt sekojošos pasākumus:</w:t>
      </w:r>
    </w:p>
    <w:p w14:paraId="28C8F929" w14:textId="410B5DEE" w:rsidR="003254EC" w:rsidRPr="003254EC" w:rsidRDefault="003254EC" w:rsidP="004420B9">
      <w:pPr>
        <w:pStyle w:val="Sarakstarindkopa"/>
        <w:numPr>
          <w:ilvl w:val="0"/>
          <w:numId w:val="7"/>
        </w:numPr>
        <w:rPr>
          <w:rFonts w:cstheme="minorHAnsi"/>
        </w:rPr>
      </w:pPr>
      <w:r w:rsidRPr="003254EC">
        <w:rPr>
          <w:rFonts w:cstheme="minorHAnsi"/>
        </w:rPr>
        <w:t>Plānots pārskatīt narkoloģijas profila pakalpojumu sniegšanai novirzītos resursus, pēc iespējas nodrošinot, ka pakalpojuma ieņēmumi nosedz vismaz ar pakalpojumu sniegšanu saistītās tiešās izmaksas, tai skaitā funkciju un resursu pārdali starp Uzņemšanas nodaļu.</w:t>
      </w:r>
    </w:p>
    <w:p w14:paraId="52D5955D" w14:textId="104320F4" w:rsidR="004B0054" w:rsidRPr="003254EC" w:rsidRDefault="004B0054" w:rsidP="004420B9">
      <w:pPr>
        <w:pStyle w:val="Sarakstarindkopa"/>
        <w:numPr>
          <w:ilvl w:val="0"/>
          <w:numId w:val="7"/>
        </w:numPr>
        <w:rPr>
          <w:rFonts w:cstheme="minorHAnsi"/>
        </w:rPr>
      </w:pPr>
      <w:r w:rsidRPr="003254EC">
        <w:rPr>
          <w:rFonts w:cstheme="minorHAnsi"/>
        </w:rPr>
        <w:lastRenderedPageBreak/>
        <w:t xml:space="preserve">Iekļaut Slimnīcas sniegto pakalpojumu klāstā </w:t>
      </w:r>
      <w:r w:rsidR="003254EC" w:rsidRPr="003254EC">
        <w:rPr>
          <w:rFonts w:cstheme="minorHAnsi"/>
        </w:rPr>
        <w:t xml:space="preserve">papildus </w:t>
      </w:r>
      <w:r w:rsidRPr="003254EC">
        <w:rPr>
          <w:rFonts w:cstheme="minorHAnsi"/>
        </w:rPr>
        <w:t>Ambulatoros un stacionāros narkoloģijas ārstniecības pakalpojumus,</w:t>
      </w:r>
      <w:r w:rsidR="003254EC" w:rsidRPr="003254EC">
        <w:rPr>
          <w:rFonts w:cstheme="minorHAnsi"/>
        </w:rPr>
        <w:t xml:space="preserve"> pēc iespējas piesaistot valsts finansējumu.</w:t>
      </w:r>
    </w:p>
    <w:p w14:paraId="3B2D0AD3" w14:textId="62D0391F" w:rsidR="00C912BF" w:rsidRPr="00CE68EA" w:rsidRDefault="69630B24" w:rsidP="004420B9">
      <w:pPr>
        <w:pStyle w:val="Sarakstarindkopa"/>
        <w:numPr>
          <w:ilvl w:val="0"/>
          <w:numId w:val="7"/>
        </w:numPr>
        <w:rPr>
          <w:rFonts w:cstheme="minorHAnsi"/>
          <w:color w:val="000000" w:themeColor="text1"/>
        </w:rPr>
      </w:pPr>
      <w:r w:rsidRPr="00CE68EA">
        <w:rPr>
          <w:rFonts w:cstheme="minorHAnsi"/>
          <w:color w:val="000000" w:themeColor="text1"/>
        </w:rPr>
        <w:t xml:space="preserve">Attīstīt ambulatoro pakalpojumu klāstu, piesaistot Eiropas Savienības fondu finansējumu un paplašinot funkcionālo speciālistu loku, lai nodrošinātu </w:t>
      </w:r>
      <w:proofErr w:type="spellStart"/>
      <w:r w:rsidRPr="00CE68EA">
        <w:rPr>
          <w:rFonts w:cstheme="minorHAnsi"/>
          <w:color w:val="000000" w:themeColor="text1"/>
        </w:rPr>
        <w:t>multiprofesionālu</w:t>
      </w:r>
      <w:proofErr w:type="spellEnd"/>
      <w:r w:rsidRPr="00CE68EA">
        <w:rPr>
          <w:rFonts w:cstheme="minorHAnsi"/>
          <w:color w:val="000000" w:themeColor="text1"/>
        </w:rPr>
        <w:t xml:space="preserve"> psihiatrisko rehabilitāciju gan stacionāra, gan dienas stacionāra pacientiem. </w:t>
      </w:r>
    </w:p>
    <w:p w14:paraId="38D8A31F" w14:textId="38B47515" w:rsidR="00C912BF" w:rsidRPr="00CE68EA" w:rsidRDefault="004B0054" w:rsidP="004420B9">
      <w:pPr>
        <w:pStyle w:val="Sarakstarindkopa"/>
        <w:numPr>
          <w:ilvl w:val="0"/>
          <w:numId w:val="7"/>
        </w:numPr>
        <w:rPr>
          <w:rFonts w:cstheme="minorHAnsi"/>
          <w:color w:val="000000" w:themeColor="text1"/>
        </w:rPr>
      </w:pPr>
      <w:r w:rsidRPr="00CE68EA">
        <w:rPr>
          <w:rFonts w:cstheme="minorHAnsi"/>
          <w:color w:val="000000" w:themeColor="text1"/>
        </w:rPr>
        <w:t>Veikt pasākumus trūkstošā personāla piesaistei un v</w:t>
      </w:r>
      <w:r w:rsidR="001244E8" w:rsidRPr="00CE68EA">
        <w:rPr>
          <w:rFonts w:cstheme="minorHAnsi"/>
          <w:color w:val="000000" w:themeColor="text1"/>
        </w:rPr>
        <w:t>eicināt</w:t>
      </w:r>
      <w:r w:rsidR="00C912BF" w:rsidRPr="00CE68EA">
        <w:rPr>
          <w:rFonts w:cstheme="minorHAnsi"/>
          <w:color w:val="000000" w:themeColor="text1"/>
        </w:rPr>
        <w:t xml:space="preserve"> </w:t>
      </w:r>
      <w:r w:rsidRPr="00CE68EA">
        <w:rPr>
          <w:rFonts w:cstheme="minorHAnsi"/>
          <w:color w:val="000000" w:themeColor="text1"/>
        </w:rPr>
        <w:t xml:space="preserve">esošā </w:t>
      </w:r>
      <w:r w:rsidR="00C912BF" w:rsidRPr="00CE68EA">
        <w:rPr>
          <w:rFonts w:cstheme="minorHAnsi"/>
          <w:color w:val="000000" w:themeColor="text1"/>
        </w:rPr>
        <w:t>personāla profesionālās un akadēmiskās kvalifikācijas paaugstināšan</w:t>
      </w:r>
      <w:r w:rsidR="001244E8" w:rsidRPr="00CE68EA">
        <w:rPr>
          <w:rFonts w:cstheme="minorHAnsi"/>
          <w:color w:val="000000" w:themeColor="text1"/>
        </w:rPr>
        <w:t>u</w:t>
      </w:r>
      <w:r w:rsidRPr="00CE68EA">
        <w:rPr>
          <w:rFonts w:cstheme="minorHAnsi"/>
          <w:color w:val="000000" w:themeColor="text1"/>
        </w:rPr>
        <w:t>;</w:t>
      </w:r>
    </w:p>
    <w:p w14:paraId="38C0549A" w14:textId="6726BCFC" w:rsidR="00C912BF" w:rsidRPr="003254EC" w:rsidRDefault="004B0054" w:rsidP="00131E43">
      <w:pPr>
        <w:pStyle w:val="Sarakstarindkopa"/>
        <w:numPr>
          <w:ilvl w:val="0"/>
          <w:numId w:val="7"/>
        </w:numPr>
        <w:rPr>
          <w:rFonts w:cstheme="minorHAnsi"/>
          <w:color w:val="000000" w:themeColor="text1"/>
        </w:rPr>
      </w:pPr>
      <w:r w:rsidRPr="00CE68EA">
        <w:rPr>
          <w:rFonts w:cstheme="minorHAnsi"/>
          <w:color w:val="000000" w:themeColor="text1"/>
        </w:rPr>
        <w:t>Turpināt Slimnīcas infrastruktūras attīstību, pabeidzot Uzņemšanas nodaļas rekonstrukciju un uzs</w:t>
      </w:r>
      <w:r w:rsidR="00730F2E">
        <w:rPr>
          <w:rFonts w:cstheme="minorHAnsi"/>
          <w:color w:val="000000" w:themeColor="text1"/>
        </w:rPr>
        <w:t>ā</w:t>
      </w:r>
      <w:r w:rsidRPr="00CE68EA">
        <w:rPr>
          <w:rFonts w:cstheme="minorHAnsi"/>
          <w:color w:val="000000" w:themeColor="text1"/>
        </w:rPr>
        <w:t>k</w:t>
      </w:r>
      <w:r w:rsidR="00730F2E">
        <w:rPr>
          <w:rFonts w:cstheme="minorHAnsi"/>
          <w:color w:val="000000" w:themeColor="text1"/>
        </w:rPr>
        <w:t>o</w:t>
      </w:r>
      <w:r w:rsidRPr="00CE68EA">
        <w:rPr>
          <w:rFonts w:cstheme="minorHAnsi"/>
          <w:color w:val="000000" w:themeColor="text1"/>
        </w:rPr>
        <w:t>t investīciju projektu jauniešu motivācijas programmas ieviešanai, k</w:t>
      </w:r>
      <w:r w:rsidR="00730F2E">
        <w:rPr>
          <w:rFonts w:cstheme="minorHAnsi"/>
          <w:color w:val="000000" w:themeColor="text1"/>
        </w:rPr>
        <w:t>ā</w:t>
      </w:r>
      <w:r w:rsidRPr="00CE68EA">
        <w:rPr>
          <w:rFonts w:cstheme="minorHAnsi"/>
          <w:color w:val="000000" w:themeColor="text1"/>
        </w:rPr>
        <w:t xml:space="preserve"> arī piesaistot finansējumu un realizējot citus investīciju projektus.</w:t>
      </w:r>
    </w:p>
    <w:p w14:paraId="2D71DD72" w14:textId="77777777" w:rsidR="00EC477E" w:rsidRDefault="00EC477E" w:rsidP="69630B24">
      <w:pPr>
        <w:rPr>
          <w:rFonts w:cstheme="minorHAnsi"/>
        </w:rPr>
      </w:pPr>
    </w:p>
    <w:p w14:paraId="457A60DA" w14:textId="542D0D0D" w:rsidR="00C912BF" w:rsidRPr="00CE68EA" w:rsidRDefault="69630B24" w:rsidP="69630B24">
      <w:pPr>
        <w:rPr>
          <w:rFonts w:cstheme="minorHAnsi"/>
        </w:rPr>
      </w:pPr>
      <w:r w:rsidRPr="00CE68EA">
        <w:rPr>
          <w:rFonts w:cstheme="minorHAnsi"/>
        </w:rPr>
        <w:t>VSIA</w:t>
      </w:r>
      <w:r w:rsidR="00635981">
        <w:rPr>
          <w:rFonts w:cstheme="minorHAnsi"/>
        </w:rPr>
        <w:t xml:space="preserve">  </w:t>
      </w:r>
      <w:r w:rsidRPr="00CE68EA">
        <w:rPr>
          <w:rFonts w:cstheme="minorHAnsi"/>
        </w:rPr>
        <w:t xml:space="preserve"> “Piejūras slimnīca” valdes loceklis</w:t>
      </w:r>
      <w:r w:rsidR="00730F2E">
        <w:rPr>
          <w:rFonts w:cstheme="minorHAnsi"/>
        </w:rPr>
        <w:t xml:space="preserve"> </w:t>
      </w:r>
      <w:r w:rsidRPr="00CE68EA">
        <w:rPr>
          <w:rFonts w:cstheme="minorHAnsi"/>
        </w:rPr>
        <w:t xml:space="preserve"> </w:t>
      </w:r>
      <w:proofErr w:type="spellStart"/>
      <w:r w:rsidRPr="00CE68EA">
        <w:rPr>
          <w:rFonts w:cstheme="minorHAnsi"/>
        </w:rPr>
        <w:t>J.Blaževičs</w:t>
      </w:r>
      <w:proofErr w:type="spellEnd"/>
    </w:p>
    <w:p w14:paraId="48D06652" w14:textId="77777777" w:rsidR="00F22F0C" w:rsidRPr="00CE68EA" w:rsidRDefault="00F22F0C" w:rsidP="00131E43">
      <w:pPr>
        <w:rPr>
          <w:rFonts w:cstheme="minorHAnsi"/>
        </w:rPr>
      </w:pPr>
    </w:p>
    <w:sectPr w:rsidR="00F22F0C" w:rsidRPr="00CE68EA" w:rsidSect="0053579A">
      <w:headerReference w:type="default" r:id="rId12"/>
      <w:pgSz w:w="11906" w:h="16838"/>
      <w:pgMar w:top="1701" w:right="992" w:bottom="1134" w:left="1418"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CEE1E" w14:textId="77777777" w:rsidR="00121CCA" w:rsidRDefault="00121CCA" w:rsidP="00131E43">
      <w:r>
        <w:separator/>
      </w:r>
    </w:p>
  </w:endnote>
  <w:endnote w:type="continuationSeparator" w:id="0">
    <w:p w14:paraId="7055AEB1" w14:textId="77777777" w:rsidR="00121CCA" w:rsidRDefault="00121CCA" w:rsidP="00131E43">
      <w:r>
        <w:continuationSeparator/>
      </w:r>
    </w:p>
  </w:endnote>
  <w:endnote w:type="continuationNotice" w:id="1">
    <w:p w14:paraId="19331F9E" w14:textId="77777777" w:rsidR="00121CCA" w:rsidRDefault="00121CC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66122" w14:textId="77777777" w:rsidR="00121CCA" w:rsidRDefault="00121CCA" w:rsidP="00131E43">
      <w:r>
        <w:separator/>
      </w:r>
    </w:p>
  </w:footnote>
  <w:footnote w:type="continuationSeparator" w:id="0">
    <w:p w14:paraId="1D201921" w14:textId="77777777" w:rsidR="00121CCA" w:rsidRDefault="00121CCA" w:rsidP="00131E43">
      <w:r>
        <w:continuationSeparator/>
      </w:r>
    </w:p>
  </w:footnote>
  <w:footnote w:type="continuationNotice" w:id="1">
    <w:p w14:paraId="48CD8076" w14:textId="77777777" w:rsidR="00121CCA" w:rsidRDefault="00121CC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04F88" w14:textId="65BD5D6C" w:rsidR="00E97313" w:rsidRDefault="00E97313" w:rsidP="003D2257">
    <w:pPr>
      <w:pStyle w:val="Galvene"/>
      <w:jc w:val="center"/>
    </w:pPr>
    <w:r>
      <w:fldChar w:fldCharType="begin"/>
    </w:r>
    <w:r>
      <w:instrText xml:space="preserve"> PAGE   \* MERGEFORMAT </w:instrText>
    </w:r>
    <w:r>
      <w:fldChar w:fldCharType="separate"/>
    </w:r>
    <w:r w:rsidR="008D2605">
      <w:rPr>
        <w:noProof/>
      </w:rPr>
      <w:t>12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E5624"/>
    <w:multiLevelType w:val="hybridMultilevel"/>
    <w:tmpl w:val="EB1671C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 w15:restartNumberingAfterBreak="0">
    <w:nsid w:val="2D7C3612"/>
    <w:multiLevelType w:val="hybridMultilevel"/>
    <w:tmpl w:val="28C8DE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BC4114F"/>
    <w:multiLevelType w:val="hybridMultilevel"/>
    <w:tmpl w:val="3F2CCDD0"/>
    <w:lvl w:ilvl="0" w:tplc="22486EB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282AB3"/>
    <w:multiLevelType w:val="hybridMultilevel"/>
    <w:tmpl w:val="87FE7A6C"/>
    <w:lvl w:ilvl="0" w:tplc="8C0414E8">
      <w:start w:val="327"/>
      <w:numFmt w:val="bullet"/>
      <w:lvlText w:val="-"/>
      <w:lvlJc w:val="left"/>
      <w:pPr>
        <w:ind w:left="720" w:hanging="360"/>
      </w:pPr>
      <w:rPr>
        <w:rFonts w:ascii="Calibri Light" w:eastAsia="Times New Roman" w:hAnsi="Calibri Light" w:cs="Calibri Ligh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3A01B1A"/>
    <w:multiLevelType w:val="hybridMultilevel"/>
    <w:tmpl w:val="CF7092E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55B44B2"/>
    <w:multiLevelType w:val="hybridMultilevel"/>
    <w:tmpl w:val="5FB29948"/>
    <w:lvl w:ilvl="0" w:tplc="04260011">
      <w:start w:val="1"/>
      <w:numFmt w:val="decimal"/>
      <w:lvlText w:val="%1)"/>
      <w:lvlJc w:val="left"/>
      <w:pPr>
        <w:ind w:left="1440" w:hanging="360"/>
      </w:pPr>
      <w:rPr>
        <w:rFont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692330C3"/>
    <w:multiLevelType w:val="hybridMultilevel"/>
    <w:tmpl w:val="BD6A3F98"/>
    <w:lvl w:ilvl="0" w:tplc="0426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7B6404E1"/>
    <w:multiLevelType w:val="hybridMultilevel"/>
    <w:tmpl w:val="A7F022B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14258299">
    <w:abstractNumId w:val="0"/>
  </w:num>
  <w:num w:numId="2" w16cid:durableId="640817044">
    <w:abstractNumId w:val="4"/>
  </w:num>
  <w:num w:numId="3" w16cid:durableId="589897058">
    <w:abstractNumId w:val="5"/>
  </w:num>
  <w:num w:numId="4" w16cid:durableId="1963606725">
    <w:abstractNumId w:val="2"/>
  </w:num>
  <w:num w:numId="5" w16cid:durableId="874196908">
    <w:abstractNumId w:val="1"/>
  </w:num>
  <w:num w:numId="6" w16cid:durableId="1261136056">
    <w:abstractNumId w:val="6"/>
  </w:num>
  <w:num w:numId="7" w16cid:durableId="645823059">
    <w:abstractNumId w:val="7"/>
  </w:num>
  <w:num w:numId="8" w16cid:durableId="1942179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2BF"/>
    <w:rsid w:val="000102F6"/>
    <w:rsid w:val="00052B2B"/>
    <w:rsid w:val="00067BAD"/>
    <w:rsid w:val="000746AD"/>
    <w:rsid w:val="0008475D"/>
    <w:rsid w:val="00096473"/>
    <w:rsid w:val="000A0288"/>
    <w:rsid w:val="000A5F9F"/>
    <w:rsid w:val="000D18EF"/>
    <w:rsid w:val="000F1453"/>
    <w:rsid w:val="00101BE7"/>
    <w:rsid w:val="00121CCA"/>
    <w:rsid w:val="001244E8"/>
    <w:rsid w:val="00131E43"/>
    <w:rsid w:val="001423F5"/>
    <w:rsid w:val="00153859"/>
    <w:rsid w:val="001571D6"/>
    <w:rsid w:val="00183D60"/>
    <w:rsid w:val="00191F5F"/>
    <w:rsid w:val="00196CF3"/>
    <w:rsid w:val="00196D97"/>
    <w:rsid w:val="001D1C77"/>
    <w:rsid w:val="001E272F"/>
    <w:rsid w:val="001F743F"/>
    <w:rsid w:val="00200491"/>
    <w:rsid w:val="00215DE8"/>
    <w:rsid w:val="00217290"/>
    <w:rsid w:val="00234434"/>
    <w:rsid w:val="0023746B"/>
    <w:rsid w:val="00241E9E"/>
    <w:rsid w:val="00243523"/>
    <w:rsid w:val="002513D2"/>
    <w:rsid w:val="00264BFB"/>
    <w:rsid w:val="00273F7A"/>
    <w:rsid w:val="002B100D"/>
    <w:rsid w:val="002D7425"/>
    <w:rsid w:val="002E2718"/>
    <w:rsid w:val="002E5154"/>
    <w:rsid w:val="00304765"/>
    <w:rsid w:val="003254EC"/>
    <w:rsid w:val="00333B18"/>
    <w:rsid w:val="00340854"/>
    <w:rsid w:val="00396F1F"/>
    <w:rsid w:val="003A1681"/>
    <w:rsid w:val="003C552F"/>
    <w:rsid w:val="003D2257"/>
    <w:rsid w:val="003D4191"/>
    <w:rsid w:val="00420BFD"/>
    <w:rsid w:val="00421D75"/>
    <w:rsid w:val="004420B9"/>
    <w:rsid w:val="004A066C"/>
    <w:rsid w:val="004A127D"/>
    <w:rsid w:val="004B0054"/>
    <w:rsid w:val="004B1DCB"/>
    <w:rsid w:val="004B434F"/>
    <w:rsid w:val="004C23FC"/>
    <w:rsid w:val="004C597F"/>
    <w:rsid w:val="004F1FEC"/>
    <w:rsid w:val="00501A62"/>
    <w:rsid w:val="00514140"/>
    <w:rsid w:val="0053579A"/>
    <w:rsid w:val="00592F99"/>
    <w:rsid w:val="00596EA4"/>
    <w:rsid w:val="005C2E20"/>
    <w:rsid w:val="00635981"/>
    <w:rsid w:val="00666418"/>
    <w:rsid w:val="0067558D"/>
    <w:rsid w:val="00677689"/>
    <w:rsid w:val="00683D36"/>
    <w:rsid w:val="0069769D"/>
    <w:rsid w:val="006B392E"/>
    <w:rsid w:val="006D2D85"/>
    <w:rsid w:val="006D6DDC"/>
    <w:rsid w:val="006E54C6"/>
    <w:rsid w:val="006F0390"/>
    <w:rsid w:val="00720871"/>
    <w:rsid w:val="00724317"/>
    <w:rsid w:val="00724896"/>
    <w:rsid w:val="00730F2E"/>
    <w:rsid w:val="00733E6B"/>
    <w:rsid w:val="007A244D"/>
    <w:rsid w:val="007B3B58"/>
    <w:rsid w:val="007B5453"/>
    <w:rsid w:val="007E4D42"/>
    <w:rsid w:val="007F4A1A"/>
    <w:rsid w:val="007F72AA"/>
    <w:rsid w:val="0080166A"/>
    <w:rsid w:val="008177A2"/>
    <w:rsid w:val="00847992"/>
    <w:rsid w:val="00850C04"/>
    <w:rsid w:val="008567E4"/>
    <w:rsid w:val="00890313"/>
    <w:rsid w:val="008A0782"/>
    <w:rsid w:val="008C29FA"/>
    <w:rsid w:val="008D2605"/>
    <w:rsid w:val="008E0132"/>
    <w:rsid w:val="008F5CC2"/>
    <w:rsid w:val="009114F2"/>
    <w:rsid w:val="00917A42"/>
    <w:rsid w:val="0095557C"/>
    <w:rsid w:val="00955E9D"/>
    <w:rsid w:val="00961C38"/>
    <w:rsid w:val="00966DC9"/>
    <w:rsid w:val="009A3ECD"/>
    <w:rsid w:val="009B3D80"/>
    <w:rsid w:val="009C6AFB"/>
    <w:rsid w:val="009D561C"/>
    <w:rsid w:val="009D7629"/>
    <w:rsid w:val="009E6CDD"/>
    <w:rsid w:val="009F6E18"/>
    <w:rsid w:val="00A01D06"/>
    <w:rsid w:val="00A1051B"/>
    <w:rsid w:val="00A179B3"/>
    <w:rsid w:val="00A30EAB"/>
    <w:rsid w:val="00A3734E"/>
    <w:rsid w:val="00A6546D"/>
    <w:rsid w:val="00A734D4"/>
    <w:rsid w:val="00A938F6"/>
    <w:rsid w:val="00AA77E9"/>
    <w:rsid w:val="00AA791F"/>
    <w:rsid w:val="00AC21AF"/>
    <w:rsid w:val="00AE3253"/>
    <w:rsid w:val="00AE6EF2"/>
    <w:rsid w:val="00B1399D"/>
    <w:rsid w:val="00B179B4"/>
    <w:rsid w:val="00B44FE8"/>
    <w:rsid w:val="00B461BC"/>
    <w:rsid w:val="00B467A6"/>
    <w:rsid w:val="00B55CFF"/>
    <w:rsid w:val="00B76B88"/>
    <w:rsid w:val="00B97204"/>
    <w:rsid w:val="00BF0DD5"/>
    <w:rsid w:val="00BF7AA3"/>
    <w:rsid w:val="00C154EC"/>
    <w:rsid w:val="00C15582"/>
    <w:rsid w:val="00C4420C"/>
    <w:rsid w:val="00C4798F"/>
    <w:rsid w:val="00C56E64"/>
    <w:rsid w:val="00C912BF"/>
    <w:rsid w:val="00C932D2"/>
    <w:rsid w:val="00CB3193"/>
    <w:rsid w:val="00CE68EA"/>
    <w:rsid w:val="00D04156"/>
    <w:rsid w:val="00D10A3D"/>
    <w:rsid w:val="00D4014C"/>
    <w:rsid w:val="00D43E7B"/>
    <w:rsid w:val="00D44A32"/>
    <w:rsid w:val="00D460F7"/>
    <w:rsid w:val="00D64716"/>
    <w:rsid w:val="00D74338"/>
    <w:rsid w:val="00D76F78"/>
    <w:rsid w:val="00DA2F49"/>
    <w:rsid w:val="00DC2226"/>
    <w:rsid w:val="00DC33C0"/>
    <w:rsid w:val="00DD1E1F"/>
    <w:rsid w:val="00DD4A5F"/>
    <w:rsid w:val="00DD6EFE"/>
    <w:rsid w:val="00DE6499"/>
    <w:rsid w:val="00E1598C"/>
    <w:rsid w:val="00E40941"/>
    <w:rsid w:val="00E4577D"/>
    <w:rsid w:val="00E46AE0"/>
    <w:rsid w:val="00E47BD8"/>
    <w:rsid w:val="00E7197A"/>
    <w:rsid w:val="00E83EF4"/>
    <w:rsid w:val="00E97313"/>
    <w:rsid w:val="00EA1DBE"/>
    <w:rsid w:val="00EC477E"/>
    <w:rsid w:val="00EE292E"/>
    <w:rsid w:val="00EE471F"/>
    <w:rsid w:val="00EF42C7"/>
    <w:rsid w:val="00F17844"/>
    <w:rsid w:val="00F22F0C"/>
    <w:rsid w:val="00F35CDD"/>
    <w:rsid w:val="00F50B00"/>
    <w:rsid w:val="00F54512"/>
    <w:rsid w:val="00F5744F"/>
    <w:rsid w:val="00F632A9"/>
    <w:rsid w:val="00F67E73"/>
    <w:rsid w:val="00F8014E"/>
    <w:rsid w:val="00F836BF"/>
    <w:rsid w:val="00FB7031"/>
    <w:rsid w:val="0D3B94C0"/>
    <w:rsid w:val="1370DCD1"/>
    <w:rsid w:val="1C598559"/>
    <w:rsid w:val="282F2BB0"/>
    <w:rsid w:val="2EA85BA7"/>
    <w:rsid w:val="3A1ECB2B"/>
    <w:rsid w:val="48534421"/>
    <w:rsid w:val="4BFD1348"/>
    <w:rsid w:val="615A1D5B"/>
    <w:rsid w:val="625A58EE"/>
    <w:rsid w:val="69630B24"/>
    <w:rsid w:val="72737A92"/>
    <w:rsid w:val="77B5D698"/>
    <w:rsid w:val="7B60EFBB"/>
    <w:rsid w:val="7FFB2A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4C77E"/>
  <w15:chartTrackingRefBased/>
  <w15:docId w15:val="{E52FD2B0-293C-42B7-AF91-0AAF2189C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lv-LV"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31E43"/>
    <w:pPr>
      <w:jc w:val="both"/>
    </w:pPr>
    <w:rPr>
      <w:sz w:val="24"/>
      <w:szCs w:val="24"/>
    </w:rPr>
  </w:style>
  <w:style w:type="paragraph" w:styleId="Virsraksts1">
    <w:name w:val="heading 1"/>
    <w:basedOn w:val="Parasts"/>
    <w:next w:val="Parasts"/>
    <w:link w:val="Virsraksts1Rakstz"/>
    <w:uiPriority w:val="9"/>
    <w:qFormat/>
    <w:rsid w:val="003D2257"/>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after="0"/>
      <w:outlineLvl w:val="0"/>
    </w:pPr>
    <w:rPr>
      <w:caps/>
      <w:color w:val="FFFFFF" w:themeColor="background1"/>
      <w:spacing w:val="15"/>
    </w:rPr>
  </w:style>
  <w:style w:type="paragraph" w:styleId="Virsraksts2">
    <w:name w:val="heading 2"/>
    <w:basedOn w:val="Parasts"/>
    <w:next w:val="Parasts"/>
    <w:link w:val="Virsraksts2Rakstz"/>
    <w:uiPriority w:val="9"/>
    <w:unhideWhenUsed/>
    <w:qFormat/>
    <w:rsid w:val="004C597F"/>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C912BF"/>
    <w:pPr>
      <w:pBdr>
        <w:top w:val="single" w:sz="6" w:space="2" w:color="549E39" w:themeColor="accent1"/>
      </w:pBdr>
      <w:spacing w:before="300" w:after="0"/>
      <w:outlineLvl w:val="2"/>
    </w:pPr>
    <w:rPr>
      <w:caps/>
      <w:color w:val="294E1C" w:themeColor="accent1" w:themeShade="7F"/>
      <w:spacing w:val="15"/>
    </w:rPr>
  </w:style>
  <w:style w:type="paragraph" w:styleId="Virsraksts4">
    <w:name w:val="heading 4"/>
    <w:basedOn w:val="Parasts"/>
    <w:next w:val="Parasts"/>
    <w:link w:val="Virsraksts4Rakstz"/>
    <w:uiPriority w:val="9"/>
    <w:semiHidden/>
    <w:unhideWhenUsed/>
    <w:qFormat/>
    <w:rsid w:val="00C912BF"/>
    <w:pPr>
      <w:pBdr>
        <w:top w:val="dotted" w:sz="6" w:space="2" w:color="549E39" w:themeColor="accent1"/>
      </w:pBdr>
      <w:spacing w:before="200" w:after="0"/>
      <w:outlineLvl w:val="3"/>
    </w:pPr>
    <w:rPr>
      <w:caps/>
      <w:color w:val="3E762A" w:themeColor="accent1" w:themeShade="BF"/>
      <w:spacing w:val="10"/>
    </w:rPr>
  </w:style>
  <w:style w:type="paragraph" w:styleId="Virsraksts5">
    <w:name w:val="heading 5"/>
    <w:basedOn w:val="Parasts"/>
    <w:next w:val="Parasts"/>
    <w:link w:val="Virsraksts5Rakstz"/>
    <w:uiPriority w:val="9"/>
    <w:semiHidden/>
    <w:unhideWhenUsed/>
    <w:qFormat/>
    <w:rsid w:val="00C912BF"/>
    <w:pPr>
      <w:pBdr>
        <w:bottom w:val="single" w:sz="6" w:space="1" w:color="549E39" w:themeColor="accent1"/>
      </w:pBdr>
      <w:spacing w:before="200" w:after="0"/>
      <w:outlineLvl w:val="4"/>
    </w:pPr>
    <w:rPr>
      <w:caps/>
      <w:color w:val="3E762A" w:themeColor="accent1" w:themeShade="BF"/>
      <w:spacing w:val="10"/>
    </w:rPr>
  </w:style>
  <w:style w:type="paragraph" w:styleId="Virsraksts6">
    <w:name w:val="heading 6"/>
    <w:basedOn w:val="Parasts"/>
    <w:next w:val="Parasts"/>
    <w:link w:val="Virsraksts6Rakstz"/>
    <w:uiPriority w:val="9"/>
    <w:semiHidden/>
    <w:unhideWhenUsed/>
    <w:qFormat/>
    <w:rsid w:val="00C912BF"/>
    <w:pPr>
      <w:pBdr>
        <w:bottom w:val="dotted" w:sz="6" w:space="1" w:color="549E39" w:themeColor="accent1"/>
      </w:pBdr>
      <w:spacing w:before="200" w:after="0"/>
      <w:outlineLvl w:val="5"/>
    </w:pPr>
    <w:rPr>
      <w:caps/>
      <w:color w:val="3E762A" w:themeColor="accent1" w:themeShade="BF"/>
      <w:spacing w:val="10"/>
    </w:rPr>
  </w:style>
  <w:style w:type="paragraph" w:styleId="Virsraksts7">
    <w:name w:val="heading 7"/>
    <w:basedOn w:val="Parasts"/>
    <w:next w:val="Parasts"/>
    <w:link w:val="Virsraksts7Rakstz"/>
    <w:uiPriority w:val="9"/>
    <w:semiHidden/>
    <w:unhideWhenUsed/>
    <w:qFormat/>
    <w:rsid w:val="00C912BF"/>
    <w:pPr>
      <w:spacing w:before="200" w:after="0"/>
      <w:outlineLvl w:val="6"/>
    </w:pPr>
    <w:rPr>
      <w:caps/>
      <w:color w:val="3E762A" w:themeColor="accent1" w:themeShade="BF"/>
      <w:spacing w:val="10"/>
    </w:rPr>
  </w:style>
  <w:style w:type="paragraph" w:styleId="Virsraksts8">
    <w:name w:val="heading 8"/>
    <w:basedOn w:val="Parasts"/>
    <w:next w:val="Parasts"/>
    <w:link w:val="Virsraksts8Rakstz"/>
    <w:uiPriority w:val="9"/>
    <w:semiHidden/>
    <w:unhideWhenUsed/>
    <w:qFormat/>
    <w:rsid w:val="00C912BF"/>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C912BF"/>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Akapit z listą BS,Numbered Para 1,Dot pt,List Paragraph Char Char Char,Indicator Text,List Paragraph1,Bullet 1,Bullet Points,MAIN CONTENT,IFCL - List Paragraph,List Paragraph12,OBC Bullet,F5 List Paragraph,Strip"/>
    <w:basedOn w:val="Parasts"/>
    <w:link w:val="SarakstarindkopaRakstz"/>
    <w:uiPriority w:val="34"/>
    <w:qFormat/>
    <w:rsid w:val="00C912BF"/>
    <w:pPr>
      <w:ind w:left="720"/>
      <w:contextualSpacing/>
    </w:pPr>
  </w:style>
  <w:style w:type="character" w:customStyle="1" w:styleId="SarakstarindkopaRakstz">
    <w:name w:val="Saraksta rindkopa Rakstz."/>
    <w:aliases w:val="2 Rakstz.,Akapit z listą BS Rakstz.,Numbered Para 1 Rakstz.,Dot pt Rakstz.,List Paragraph Char Char Char Rakstz.,Indicator Text Rakstz.,List Paragraph1 Rakstz.,Bullet 1 Rakstz.,Bullet Points Rakstz.,MAIN CONTENT Rakstz."/>
    <w:link w:val="Sarakstarindkopa"/>
    <w:uiPriority w:val="34"/>
    <w:locked/>
    <w:rsid w:val="00C912BF"/>
  </w:style>
  <w:style w:type="paragraph" w:styleId="Galvene">
    <w:name w:val="header"/>
    <w:basedOn w:val="Parasts"/>
    <w:link w:val="GalveneRakstz"/>
    <w:uiPriority w:val="99"/>
    <w:unhideWhenUsed/>
    <w:rsid w:val="00C912BF"/>
    <w:pPr>
      <w:tabs>
        <w:tab w:val="center" w:pos="4153"/>
        <w:tab w:val="right" w:pos="8306"/>
      </w:tabs>
    </w:pPr>
  </w:style>
  <w:style w:type="character" w:customStyle="1" w:styleId="GalveneRakstz">
    <w:name w:val="Galvene Rakstz."/>
    <w:basedOn w:val="Noklusjumarindkopasfonts"/>
    <w:link w:val="Galvene"/>
    <w:uiPriority w:val="99"/>
    <w:rsid w:val="00C912BF"/>
    <w:rPr>
      <w:rFonts w:eastAsiaTheme="minorEastAsia"/>
      <w:sz w:val="20"/>
      <w:szCs w:val="20"/>
      <w:lang w:eastAsia="lv-LV"/>
    </w:rPr>
  </w:style>
  <w:style w:type="character" w:styleId="Hipersaite">
    <w:name w:val="Hyperlink"/>
    <w:uiPriority w:val="99"/>
    <w:unhideWhenUsed/>
    <w:rsid w:val="00C912BF"/>
    <w:rPr>
      <w:color w:val="0563C1"/>
      <w:u w:val="single"/>
    </w:rPr>
  </w:style>
  <w:style w:type="character" w:styleId="Intensvsizclums">
    <w:name w:val="Intense Emphasis"/>
    <w:uiPriority w:val="21"/>
    <w:qFormat/>
    <w:rsid w:val="00C912BF"/>
    <w:rPr>
      <w:b/>
      <w:bCs/>
      <w:caps/>
      <w:color w:val="294E1C" w:themeColor="accent1" w:themeShade="7F"/>
      <w:spacing w:val="10"/>
    </w:rPr>
  </w:style>
  <w:style w:type="character" w:styleId="Komentraatsauce">
    <w:name w:val="annotation reference"/>
    <w:uiPriority w:val="99"/>
    <w:semiHidden/>
    <w:unhideWhenUsed/>
    <w:rsid w:val="00C912BF"/>
    <w:rPr>
      <w:sz w:val="16"/>
      <w:szCs w:val="16"/>
    </w:rPr>
  </w:style>
  <w:style w:type="paragraph" w:styleId="Komentrateksts">
    <w:name w:val="annotation text"/>
    <w:basedOn w:val="Parasts"/>
    <w:link w:val="KomentratekstsRakstz"/>
    <w:uiPriority w:val="99"/>
    <w:unhideWhenUsed/>
    <w:rsid w:val="00C912BF"/>
  </w:style>
  <w:style w:type="character" w:customStyle="1" w:styleId="KomentratekstsRakstz">
    <w:name w:val="Komentāra teksts Rakstz."/>
    <w:basedOn w:val="Noklusjumarindkopasfonts"/>
    <w:link w:val="Komentrateksts"/>
    <w:uiPriority w:val="99"/>
    <w:rsid w:val="00C912BF"/>
    <w:rPr>
      <w:rFonts w:eastAsiaTheme="minorEastAsia"/>
      <w:sz w:val="20"/>
      <w:szCs w:val="20"/>
      <w:lang w:eastAsia="lv-LV"/>
    </w:rPr>
  </w:style>
  <w:style w:type="paragraph" w:styleId="Nosaukums">
    <w:name w:val="Title"/>
    <w:basedOn w:val="Parasts"/>
    <w:next w:val="Parasts"/>
    <w:link w:val="NosaukumsRakstz"/>
    <w:uiPriority w:val="10"/>
    <w:qFormat/>
    <w:rsid w:val="00C912BF"/>
    <w:pPr>
      <w:spacing w:before="0" w:after="0"/>
      <w:jc w:val="center"/>
    </w:pPr>
    <w:rPr>
      <w:rFonts w:asciiTheme="majorHAnsi" w:eastAsiaTheme="majorEastAsia" w:hAnsiTheme="majorHAnsi" w:cstheme="majorBidi"/>
      <w:b/>
      <w:bCs/>
      <w:caps/>
      <w:color w:val="549E39" w:themeColor="accent1"/>
      <w:spacing w:val="10"/>
      <w:sz w:val="36"/>
      <w:szCs w:val="36"/>
    </w:rPr>
  </w:style>
  <w:style w:type="character" w:customStyle="1" w:styleId="NosaukumsRakstz">
    <w:name w:val="Nosaukums Rakstz."/>
    <w:basedOn w:val="Noklusjumarindkopasfonts"/>
    <w:link w:val="Nosaukums"/>
    <w:uiPriority w:val="10"/>
    <w:rsid w:val="00C912BF"/>
    <w:rPr>
      <w:rFonts w:asciiTheme="majorHAnsi" w:eastAsiaTheme="majorEastAsia" w:hAnsiTheme="majorHAnsi" w:cstheme="majorBidi"/>
      <w:b/>
      <w:bCs/>
      <w:caps/>
      <w:color w:val="549E39" w:themeColor="accent1"/>
      <w:spacing w:val="10"/>
      <w:sz w:val="36"/>
      <w:szCs w:val="36"/>
    </w:rPr>
  </w:style>
  <w:style w:type="character" w:customStyle="1" w:styleId="Virsraksts1Rakstz">
    <w:name w:val="Virsraksts 1 Rakstz."/>
    <w:basedOn w:val="Noklusjumarindkopasfonts"/>
    <w:link w:val="Virsraksts1"/>
    <w:uiPriority w:val="9"/>
    <w:rsid w:val="003D2257"/>
    <w:rPr>
      <w:caps/>
      <w:color w:val="FFFFFF" w:themeColor="background1"/>
      <w:spacing w:val="15"/>
      <w:sz w:val="24"/>
      <w:szCs w:val="24"/>
      <w:shd w:val="clear" w:color="auto" w:fill="549E39" w:themeFill="accent1"/>
    </w:rPr>
  </w:style>
  <w:style w:type="character" w:customStyle="1" w:styleId="Virsraksts2Rakstz">
    <w:name w:val="Virsraksts 2 Rakstz."/>
    <w:basedOn w:val="Noklusjumarindkopasfonts"/>
    <w:link w:val="Virsraksts2"/>
    <w:uiPriority w:val="9"/>
    <w:rsid w:val="004C597F"/>
    <w:rPr>
      <w:caps/>
      <w:spacing w:val="15"/>
      <w:sz w:val="24"/>
      <w:szCs w:val="24"/>
      <w:shd w:val="clear" w:color="auto" w:fill="DAEFD3" w:themeFill="accent1" w:themeFillTint="33"/>
    </w:rPr>
  </w:style>
  <w:style w:type="character" w:customStyle="1" w:styleId="Virsraksts3Rakstz">
    <w:name w:val="Virsraksts 3 Rakstz."/>
    <w:basedOn w:val="Noklusjumarindkopasfonts"/>
    <w:link w:val="Virsraksts3"/>
    <w:uiPriority w:val="9"/>
    <w:semiHidden/>
    <w:rsid w:val="00C912BF"/>
    <w:rPr>
      <w:caps/>
      <w:color w:val="294E1C" w:themeColor="accent1" w:themeShade="7F"/>
      <w:spacing w:val="15"/>
    </w:rPr>
  </w:style>
  <w:style w:type="character" w:customStyle="1" w:styleId="Virsraksts4Rakstz">
    <w:name w:val="Virsraksts 4 Rakstz."/>
    <w:basedOn w:val="Noklusjumarindkopasfonts"/>
    <w:link w:val="Virsraksts4"/>
    <w:uiPriority w:val="9"/>
    <w:semiHidden/>
    <w:rsid w:val="00C912BF"/>
    <w:rPr>
      <w:caps/>
      <w:color w:val="3E762A" w:themeColor="accent1" w:themeShade="BF"/>
      <w:spacing w:val="10"/>
    </w:rPr>
  </w:style>
  <w:style w:type="character" w:customStyle="1" w:styleId="Virsraksts5Rakstz">
    <w:name w:val="Virsraksts 5 Rakstz."/>
    <w:basedOn w:val="Noklusjumarindkopasfonts"/>
    <w:link w:val="Virsraksts5"/>
    <w:uiPriority w:val="9"/>
    <w:semiHidden/>
    <w:rsid w:val="00C912BF"/>
    <w:rPr>
      <w:caps/>
      <w:color w:val="3E762A" w:themeColor="accent1" w:themeShade="BF"/>
      <w:spacing w:val="10"/>
    </w:rPr>
  </w:style>
  <w:style w:type="character" w:customStyle="1" w:styleId="Virsraksts6Rakstz">
    <w:name w:val="Virsraksts 6 Rakstz."/>
    <w:basedOn w:val="Noklusjumarindkopasfonts"/>
    <w:link w:val="Virsraksts6"/>
    <w:uiPriority w:val="9"/>
    <w:semiHidden/>
    <w:rsid w:val="00C912BF"/>
    <w:rPr>
      <w:caps/>
      <w:color w:val="3E762A" w:themeColor="accent1" w:themeShade="BF"/>
      <w:spacing w:val="10"/>
    </w:rPr>
  </w:style>
  <w:style w:type="character" w:customStyle="1" w:styleId="Virsraksts7Rakstz">
    <w:name w:val="Virsraksts 7 Rakstz."/>
    <w:basedOn w:val="Noklusjumarindkopasfonts"/>
    <w:link w:val="Virsraksts7"/>
    <w:uiPriority w:val="9"/>
    <w:semiHidden/>
    <w:rsid w:val="00C912BF"/>
    <w:rPr>
      <w:caps/>
      <w:color w:val="3E762A" w:themeColor="accent1" w:themeShade="BF"/>
      <w:spacing w:val="10"/>
    </w:rPr>
  </w:style>
  <w:style w:type="character" w:customStyle="1" w:styleId="Virsraksts8Rakstz">
    <w:name w:val="Virsraksts 8 Rakstz."/>
    <w:basedOn w:val="Noklusjumarindkopasfonts"/>
    <w:link w:val="Virsraksts8"/>
    <w:uiPriority w:val="9"/>
    <w:semiHidden/>
    <w:rsid w:val="00C912BF"/>
    <w:rPr>
      <w:caps/>
      <w:spacing w:val="10"/>
      <w:sz w:val="18"/>
      <w:szCs w:val="18"/>
    </w:rPr>
  </w:style>
  <w:style w:type="character" w:customStyle="1" w:styleId="Virsraksts9Rakstz">
    <w:name w:val="Virsraksts 9 Rakstz."/>
    <w:basedOn w:val="Noklusjumarindkopasfonts"/>
    <w:link w:val="Virsraksts9"/>
    <w:uiPriority w:val="9"/>
    <w:semiHidden/>
    <w:rsid w:val="00C912BF"/>
    <w:rPr>
      <w:i/>
      <w:iCs/>
      <w:caps/>
      <w:spacing w:val="10"/>
      <w:sz w:val="18"/>
      <w:szCs w:val="18"/>
    </w:rPr>
  </w:style>
  <w:style w:type="paragraph" w:styleId="Parakstszemobjekta">
    <w:name w:val="caption"/>
    <w:basedOn w:val="Parasts"/>
    <w:next w:val="Parasts"/>
    <w:uiPriority w:val="35"/>
    <w:semiHidden/>
    <w:unhideWhenUsed/>
    <w:qFormat/>
    <w:rsid w:val="00C912BF"/>
    <w:rPr>
      <w:b/>
      <w:bCs/>
      <w:color w:val="3E762A" w:themeColor="accent1" w:themeShade="BF"/>
      <w:sz w:val="16"/>
      <w:szCs w:val="16"/>
    </w:rPr>
  </w:style>
  <w:style w:type="paragraph" w:styleId="Apakvirsraksts">
    <w:name w:val="Subtitle"/>
    <w:basedOn w:val="Parasts"/>
    <w:next w:val="Parasts"/>
    <w:link w:val="ApakvirsrakstsRakstz"/>
    <w:uiPriority w:val="11"/>
    <w:qFormat/>
    <w:rsid w:val="00C912BF"/>
    <w:pPr>
      <w:spacing w:before="0" w:after="500" w:line="240" w:lineRule="auto"/>
    </w:pPr>
    <w:rPr>
      <w:caps/>
      <w:color w:val="595959" w:themeColor="text1" w:themeTint="A6"/>
      <w:spacing w:val="10"/>
      <w:sz w:val="21"/>
      <w:szCs w:val="21"/>
    </w:rPr>
  </w:style>
  <w:style w:type="character" w:customStyle="1" w:styleId="ApakvirsrakstsRakstz">
    <w:name w:val="Apakšvirsraksts Rakstz."/>
    <w:basedOn w:val="Noklusjumarindkopasfonts"/>
    <w:link w:val="Apakvirsraksts"/>
    <w:uiPriority w:val="11"/>
    <w:rsid w:val="00C912BF"/>
    <w:rPr>
      <w:caps/>
      <w:color w:val="595959" w:themeColor="text1" w:themeTint="A6"/>
      <w:spacing w:val="10"/>
      <w:sz w:val="21"/>
      <w:szCs w:val="21"/>
    </w:rPr>
  </w:style>
  <w:style w:type="character" w:styleId="Izteiksmgs">
    <w:name w:val="Strong"/>
    <w:uiPriority w:val="22"/>
    <w:qFormat/>
    <w:rsid w:val="00C912BF"/>
    <w:rPr>
      <w:b/>
      <w:bCs/>
    </w:rPr>
  </w:style>
  <w:style w:type="character" w:styleId="Izclums">
    <w:name w:val="Emphasis"/>
    <w:uiPriority w:val="20"/>
    <w:qFormat/>
    <w:rsid w:val="00C912BF"/>
    <w:rPr>
      <w:caps/>
      <w:color w:val="294E1C" w:themeColor="accent1" w:themeShade="7F"/>
      <w:spacing w:val="5"/>
    </w:rPr>
  </w:style>
  <w:style w:type="paragraph" w:styleId="Bezatstarpm">
    <w:name w:val="No Spacing"/>
    <w:uiPriority w:val="1"/>
    <w:qFormat/>
    <w:rsid w:val="00C912BF"/>
    <w:pPr>
      <w:spacing w:after="0" w:line="240" w:lineRule="auto"/>
    </w:pPr>
  </w:style>
  <w:style w:type="paragraph" w:styleId="Citts">
    <w:name w:val="Quote"/>
    <w:basedOn w:val="Parasts"/>
    <w:next w:val="Parasts"/>
    <w:link w:val="CittsRakstz"/>
    <w:uiPriority w:val="29"/>
    <w:qFormat/>
    <w:rsid w:val="00C912BF"/>
    <w:rPr>
      <w:i/>
      <w:iCs/>
    </w:rPr>
  </w:style>
  <w:style w:type="character" w:customStyle="1" w:styleId="CittsRakstz">
    <w:name w:val="Citāts Rakstz."/>
    <w:basedOn w:val="Noklusjumarindkopasfonts"/>
    <w:link w:val="Citts"/>
    <w:uiPriority w:val="29"/>
    <w:rsid w:val="00C912BF"/>
    <w:rPr>
      <w:i/>
      <w:iCs/>
      <w:sz w:val="24"/>
      <w:szCs w:val="24"/>
    </w:rPr>
  </w:style>
  <w:style w:type="paragraph" w:styleId="Intensvscitts">
    <w:name w:val="Intense Quote"/>
    <w:basedOn w:val="Parasts"/>
    <w:next w:val="Parasts"/>
    <w:link w:val="IntensvscittsRakstz"/>
    <w:uiPriority w:val="30"/>
    <w:qFormat/>
    <w:rsid w:val="00C912BF"/>
    <w:pPr>
      <w:spacing w:before="240" w:after="240" w:line="240" w:lineRule="auto"/>
      <w:ind w:left="1080" w:right="1080"/>
      <w:jc w:val="center"/>
    </w:pPr>
    <w:rPr>
      <w:color w:val="549E39" w:themeColor="accent1"/>
    </w:rPr>
  </w:style>
  <w:style w:type="character" w:customStyle="1" w:styleId="IntensvscittsRakstz">
    <w:name w:val="Intensīvs citāts Rakstz."/>
    <w:basedOn w:val="Noklusjumarindkopasfonts"/>
    <w:link w:val="Intensvscitts"/>
    <w:uiPriority w:val="30"/>
    <w:rsid w:val="00C912BF"/>
    <w:rPr>
      <w:color w:val="549E39" w:themeColor="accent1"/>
      <w:sz w:val="24"/>
      <w:szCs w:val="24"/>
    </w:rPr>
  </w:style>
  <w:style w:type="character" w:styleId="Izsmalcintsizclums">
    <w:name w:val="Subtle Emphasis"/>
    <w:uiPriority w:val="19"/>
    <w:qFormat/>
    <w:rsid w:val="00C912BF"/>
    <w:rPr>
      <w:i/>
      <w:iCs/>
      <w:color w:val="294E1C" w:themeColor="accent1" w:themeShade="7F"/>
    </w:rPr>
  </w:style>
  <w:style w:type="character" w:styleId="Izsmalcintaatsauce">
    <w:name w:val="Subtle Reference"/>
    <w:uiPriority w:val="31"/>
    <w:qFormat/>
    <w:rsid w:val="00C912BF"/>
    <w:rPr>
      <w:b/>
      <w:bCs/>
      <w:color w:val="549E39" w:themeColor="accent1"/>
    </w:rPr>
  </w:style>
  <w:style w:type="character" w:styleId="Intensvaatsauce">
    <w:name w:val="Intense Reference"/>
    <w:uiPriority w:val="32"/>
    <w:qFormat/>
    <w:rsid w:val="00C912BF"/>
    <w:rPr>
      <w:b/>
      <w:bCs/>
      <w:i/>
      <w:iCs/>
      <w:caps/>
      <w:color w:val="549E39" w:themeColor="accent1"/>
    </w:rPr>
  </w:style>
  <w:style w:type="character" w:styleId="Grmatasnosaukums">
    <w:name w:val="Book Title"/>
    <w:uiPriority w:val="33"/>
    <w:qFormat/>
    <w:rsid w:val="00C912BF"/>
    <w:rPr>
      <w:b/>
      <w:bCs/>
      <w:i/>
      <w:iCs/>
      <w:spacing w:val="0"/>
    </w:rPr>
  </w:style>
  <w:style w:type="paragraph" w:styleId="Saturardtjavirsraksts">
    <w:name w:val="TOC Heading"/>
    <w:basedOn w:val="Virsraksts1"/>
    <w:next w:val="Parasts"/>
    <w:uiPriority w:val="39"/>
    <w:semiHidden/>
    <w:unhideWhenUsed/>
    <w:qFormat/>
    <w:rsid w:val="00C912BF"/>
    <w:pPr>
      <w:outlineLvl w:val="9"/>
    </w:pPr>
  </w:style>
  <w:style w:type="paragraph" w:styleId="Kjene">
    <w:name w:val="footer"/>
    <w:basedOn w:val="Parasts"/>
    <w:link w:val="KjeneRakstz"/>
    <w:uiPriority w:val="99"/>
    <w:unhideWhenUsed/>
    <w:rsid w:val="00C912BF"/>
    <w:pPr>
      <w:tabs>
        <w:tab w:val="center" w:pos="4153"/>
        <w:tab w:val="right" w:pos="8306"/>
      </w:tabs>
      <w:spacing w:before="0" w:after="0" w:line="240" w:lineRule="auto"/>
    </w:pPr>
  </w:style>
  <w:style w:type="character" w:customStyle="1" w:styleId="KjeneRakstz">
    <w:name w:val="Kājene Rakstz."/>
    <w:basedOn w:val="Noklusjumarindkopasfonts"/>
    <w:link w:val="Kjene"/>
    <w:uiPriority w:val="99"/>
    <w:rsid w:val="00C912BF"/>
    <w:rPr>
      <w:sz w:val="24"/>
      <w:szCs w:val="24"/>
    </w:rPr>
  </w:style>
  <w:style w:type="table" w:styleId="Sarakstatabula3-izclums1">
    <w:name w:val="List Table 3 Accent 1"/>
    <w:basedOn w:val="Parastatabula"/>
    <w:uiPriority w:val="48"/>
    <w:rsid w:val="003D2257"/>
    <w:pPr>
      <w:spacing w:after="0" w:line="240" w:lineRule="auto"/>
    </w:pPr>
    <w:tblPr>
      <w:tblStyleRowBandSize w:val="1"/>
      <w:tblStyleColBandSize w:val="1"/>
      <w:tblBorders>
        <w:top w:val="single" w:sz="4" w:space="0" w:color="549E39" w:themeColor="accent1"/>
        <w:left w:val="single" w:sz="4" w:space="0" w:color="549E39" w:themeColor="accent1"/>
        <w:bottom w:val="single" w:sz="4" w:space="0" w:color="549E39" w:themeColor="accent1"/>
        <w:right w:val="single" w:sz="4" w:space="0" w:color="549E39" w:themeColor="accent1"/>
      </w:tblBorders>
    </w:tblPr>
    <w:tblStylePr w:type="firstRow">
      <w:rPr>
        <w:b/>
        <w:bCs/>
        <w:color w:val="FFFFFF" w:themeColor="background1"/>
      </w:rPr>
      <w:tblPr/>
      <w:tcPr>
        <w:shd w:val="clear" w:color="auto" w:fill="549E39" w:themeFill="accent1"/>
      </w:tcPr>
    </w:tblStylePr>
    <w:tblStylePr w:type="lastRow">
      <w:rPr>
        <w:b/>
        <w:bCs/>
      </w:rPr>
      <w:tblPr/>
      <w:tcPr>
        <w:tcBorders>
          <w:top w:val="double" w:sz="4" w:space="0" w:color="549E3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9E39" w:themeColor="accent1"/>
          <w:right w:val="single" w:sz="4" w:space="0" w:color="549E39" w:themeColor="accent1"/>
        </w:tcBorders>
      </w:tcPr>
    </w:tblStylePr>
    <w:tblStylePr w:type="band1Horz">
      <w:tblPr/>
      <w:tcPr>
        <w:tcBorders>
          <w:top w:val="single" w:sz="4" w:space="0" w:color="549E39" w:themeColor="accent1"/>
          <w:bottom w:val="single" w:sz="4" w:space="0" w:color="549E3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9E39" w:themeColor="accent1"/>
          <w:left w:val="nil"/>
        </w:tcBorders>
      </w:tcPr>
    </w:tblStylePr>
    <w:tblStylePr w:type="swCell">
      <w:tblPr/>
      <w:tcPr>
        <w:tcBorders>
          <w:top w:val="double" w:sz="4" w:space="0" w:color="549E39" w:themeColor="accent1"/>
          <w:right w:val="nil"/>
        </w:tcBorders>
      </w:tcPr>
    </w:tblStylePr>
  </w:style>
  <w:style w:type="table" w:styleId="Reatabula4-izclums1">
    <w:name w:val="Grid Table 4 Accent 1"/>
    <w:basedOn w:val="Parastatabula"/>
    <w:uiPriority w:val="49"/>
    <w:rsid w:val="00F50B00"/>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color w:val="FFFFFF" w:themeColor="background1"/>
      </w:rPr>
      <w:tblPr/>
      <w:tcPr>
        <w:tcBorders>
          <w:top w:val="single" w:sz="4" w:space="0" w:color="549E39" w:themeColor="accent1"/>
          <w:left w:val="single" w:sz="4" w:space="0" w:color="549E39" w:themeColor="accent1"/>
          <w:bottom w:val="single" w:sz="4" w:space="0" w:color="549E39" w:themeColor="accent1"/>
          <w:right w:val="single" w:sz="4" w:space="0" w:color="549E39" w:themeColor="accent1"/>
          <w:insideH w:val="nil"/>
          <w:insideV w:val="nil"/>
        </w:tcBorders>
        <w:shd w:val="clear" w:color="auto" w:fill="549E39" w:themeFill="accent1"/>
      </w:tcPr>
    </w:tblStylePr>
    <w:tblStylePr w:type="lastRow">
      <w:rPr>
        <w:b/>
        <w:bCs/>
      </w:rPr>
      <w:tblPr/>
      <w:tcPr>
        <w:tcBorders>
          <w:top w:val="double" w:sz="4" w:space="0" w:color="549E39" w:themeColor="accent1"/>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Sarakstatabula3-izclums2">
    <w:name w:val="List Table 3 Accent 2"/>
    <w:basedOn w:val="Parastatabula"/>
    <w:uiPriority w:val="48"/>
    <w:rsid w:val="008567E4"/>
    <w:pPr>
      <w:spacing w:after="0" w:line="240" w:lineRule="auto"/>
    </w:pPr>
    <w:tblPr>
      <w:tblStyleRowBandSize w:val="1"/>
      <w:tblStyleColBandSize w:val="1"/>
      <w:tblBorders>
        <w:top w:val="single" w:sz="4" w:space="0" w:color="8AB833" w:themeColor="accent2"/>
        <w:left w:val="single" w:sz="4" w:space="0" w:color="8AB833" w:themeColor="accent2"/>
        <w:bottom w:val="single" w:sz="4" w:space="0" w:color="8AB833" w:themeColor="accent2"/>
        <w:right w:val="single" w:sz="4" w:space="0" w:color="8AB833" w:themeColor="accent2"/>
      </w:tblBorders>
    </w:tblPr>
    <w:tblStylePr w:type="firstRow">
      <w:rPr>
        <w:b/>
        <w:bCs/>
        <w:color w:val="FFFFFF" w:themeColor="background1"/>
      </w:rPr>
      <w:tblPr/>
      <w:tcPr>
        <w:shd w:val="clear" w:color="auto" w:fill="8AB833" w:themeFill="accent2"/>
      </w:tcPr>
    </w:tblStylePr>
    <w:tblStylePr w:type="lastRow">
      <w:rPr>
        <w:b/>
        <w:bCs/>
      </w:rPr>
      <w:tblPr/>
      <w:tcPr>
        <w:tcBorders>
          <w:top w:val="double" w:sz="4" w:space="0" w:color="8AB8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B833" w:themeColor="accent2"/>
          <w:right w:val="single" w:sz="4" w:space="0" w:color="8AB833" w:themeColor="accent2"/>
        </w:tcBorders>
      </w:tcPr>
    </w:tblStylePr>
    <w:tblStylePr w:type="band1Horz">
      <w:tblPr/>
      <w:tcPr>
        <w:tcBorders>
          <w:top w:val="single" w:sz="4" w:space="0" w:color="8AB833" w:themeColor="accent2"/>
          <w:bottom w:val="single" w:sz="4" w:space="0" w:color="8AB8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B833" w:themeColor="accent2"/>
          <w:left w:val="nil"/>
        </w:tcBorders>
      </w:tcPr>
    </w:tblStylePr>
    <w:tblStylePr w:type="swCell">
      <w:tblPr/>
      <w:tcPr>
        <w:tcBorders>
          <w:top w:val="double" w:sz="4" w:space="0" w:color="8AB833" w:themeColor="accent2"/>
          <w:right w:val="nil"/>
        </w:tcBorders>
      </w:tcPr>
    </w:tblStylePr>
  </w:style>
  <w:style w:type="table" w:styleId="Reatabula">
    <w:name w:val="Table Grid"/>
    <w:basedOn w:val="Parastatabula"/>
    <w:uiPriority w:val="59"/>
    <w:rsid w:val="002E51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eatabula1gaia-izclums1">
    <w:name w:val="Grid Table 1 Light Accent 1"/>
    <w:basedOn w:val="Parastatabula"/>
    <w:uiPriority w:val="46"/>
    <w:rsid w:val="000746AD"/>
    <w:pPr>
      <w:spacing w:after="0" w:line="240" w:lineRule="auto"/>
    </w:pPr>
    <w:tblPr>
      <w:tblStyleRowBandSize w:val="1"/>
      <w:tblStyleColBandSize w:val="1"/>
      <w:tbl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insideH w:val="single" w:sz="4" w:space="0" w:color="B7DFA8" w:themeColor="accent1" w:themeTint="66"/>
        <w:insideV w:val="single" w:sz="4" w:space="0" w:color="B7DFA8" w:themeColor="accent1" w:themeTint="66"/>
      </w:tblBorders>
    </w:tblPr>
    <w:tblStylePr w:type="firstRow">
      <w:rPr>
        <w:b/>
        <w:bCs/>
      </w:rPr>
      <w:tblPr/>
      <w:tcPr>
        <w:tcBorders>
          <w:bottom w:val="single" w:sz="12" w:space="0" w:color="93D07C" w:themeColor="accent1" w:themeTint="99"/>
        </w:tcBorders>
      </w:tcPr>
    </w:tblStylePr>
    <w:tblStylePr w:type="lastRow">
      <w:rPr>
        <w:b/>
        <w:bCs/>
      </w:rPr>
      <w:tblPr/>
      <w:tcPr>
        <w:tcBorders>
          <w:top w:val="double" w:sz="2" w:space="0" w:color="93D07C" w:themeColor="accent1" w:themeTint="99"/>
        </w:tcBorders>
      </w:tcPr>
    </w:tblStylePr>
    <w:tblStylePr w:type="firstCol">
      <w:rPr>
        <w:b/>
        <w:bCs/>
      </w:rPr>
    </w:tblStylePr>
    <w:tblStylePr w:type="lastCol">
      <w:rPr>
        <w:b/>
        <w:bCs/>
      </w:rPr>
    </w:tblStylePr>
  </w:style>
  <w:style w:type="table" w:styleId="Reatabula1gaia-izclums2">
    <w:name w:val="Grid Table 1 Light Accent 2"/>
    <w:basedOn w:val="Parastatabula"/>
    <w:uiPriority w:val="46"/>
    <w:rsid w:val="000746AD"/>
    <w:pPr>
      <w:spacing w:after="0" w:line="240" w:lineRule="auto"/>
    </w:pPr>
    <w:tblPr>
      <w:tblStyleRowBandSize w:val="1"/>
      <w:tblStyleColBandSize w:val="1"/>
      <w:tblBorders>
        <w:top w:val="single" w:sz="4" w:space="0" w:color="D1E7A8" w:themeColor="accent2" w:themeTint="66"/>
        <w:left w:val="single" w:sz="4" w:space="0" w:color="D1E7A8" w:themeColor="accent2" w:themeTint="66"/>
        <w:bottom w:val="single" w:sz="4" w:space="0" w:color="D1E7A8" w:themeColor="accent2" w:themeTint="66"/>
        <w:right w:val="single" w:sz="4" w:space="0" w:color="D1E7A8" w:themeColor="accent2" w:themeTint="66"/>
        <w:insideH w:val="single" w:sz="4" w:space="0" w:color="D1E7A8" w:themeColor="accent2" w:themeTint="66"/>
        <w:insideV w:val="single" w:sz="4" w:space="0" w:color="D1E7A8" w:themeColor="accent2" w:themeTint="66"/>
      </w:tblBorders>
    </w:tblPr>
    <w:tblStylePr w:type="firstRow">
      <w:rPr>
        <w:b/>
        <w:bCs/>
      </w:rPr>
      <w:tblPr/>
      <w:tcPr>
        <w:tcBorders>
          <w:bottom w:val="single" w:sz="12" w:space="0" w:color="BADB7D" w:themeColor="accent2" w:themeTint="99"/>
        </w:tcBorders>
      </w:tcPr>
    </w:tblStylePr>
    <w:tblStylePr w:type="lastRow">
      <w:rPr>
        <w:b/>
        <w:bCs/>
      </w:rPr>
      <w:tblPr/>
      <w:tcPr>
        <w:tcBorders>
          <w:top w:val="double" w:sz="2" w:space="0" w:color="BADB7D" w:themeColor="accent2" w:themeTint="99"/>
        </w:tcBorders>
      </w:tcPr>
    </w:tblStylePr>
    <w:tblStylePr w:type="firstCol">
      <w:rPr>
        <w:b/>
        <w:bCs/>
      </w:rPr>
    </w:tblStylePr>
    <w:tblStylePr w:type="lastCol">
      <w:rPr>
        <w:b/>
        <w:bCs/>
      </w:rPr>
    </w:tblStylePr>
  </w:style>
  <w:style w:type="table" w:styleId="Sarakstatabula1gaismas-izclums2">
    <w:name w:val="List Table 1 Light Accent 2"/>
    <w:basedOn w:val="Parastatabula"/>
    <w:uiPriority w:val="46"/>
    <w:rsid w:val="000746AD"/>
    <w:pPr>
      <w:spacing w:after="0" w:line="240" w:lineRule="auto"/>
    </w:pPr>
    <w:tblPr>
      <w:tblStyleRowBandSize w:val="1"/>
      <w:tblStyleColBandSize w:val="1"/>
    </w:tblPr>
    <w:tblStylePr w:type="firstRow">
      <w:rPr>
        <w:b/>
        <w:bCs/>
      </w:rPr>
      <w:tblPr/>
      <w:tcPr>
        <w:tcBorders>
          <w:bottom w:val="single" w:sz="4" w:space="0" w:color="BADB7D" w:themeColor="accent2" w:themeTint="99"/>
        </w:tcBorders>
      </w:tcPr>
    </w:tblStylePr>
    <w:tblStylePr w:type="lastRow">
      <w:rPr>
        <w:b/>
        <w:bCs/>
      </w:rPr>
      <w:tblPr/>
      <w:tcPr>
        <w:tcBorders>
          <w:top w:val="single" w:sz="4" w:space="0" w:color="BADB7D" w:themeColor="accent2" w:themeTint="99"/>
        </w:tcBorders>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 w:type="paragraph" w:styleId="Paraststmeklis">
    <w:name w:val="Normal (Web)"/>
    <w:basedOn w:val="Parasts"/>
    <w:uiPriority w:val="99"/>
    <w:unhideWhenUsed/>
    <w:rsid w:val="00273F7A"/>
    <w:pPr>
      <w:spacing w:beforeAutospacing="1" w:after="100" w:afterAutospacing="1" w:line="240" w:lineRule="auto"/>
      <w:jc w:val="left"/>
    </w:pPr>
    <w:rPr>
      <w:rFonts w:ascii="Times New Roman" w:eastAsia="Times New Roman" w:hAnsi="Times New Roman" w:cs="Times New Roman"/>
      <w:lang w:eastAsia="lv-LV"/>
    </w:rPr>
  </w:style>
  <w:style w:type="paragraph" w:styleId="Komentratma">
    <w:name w:val="annotation subject"/>
    <w:basedOn w:val="Komentrateksts"/>
    <w:next w:val="Komentrateksts"/>
    <w:link w:val="KomentratmaRakstz"/>
    <w:uiPriority w:val="99"/>
    <w:semiHidden/>
    <w:unhideWhenUsed/>
    <w:rsid w:val="00052B2B"/>
    <w:pPr>
      <w:spacing w:line="240" w:lineRule="auto"/>
    </w:pPr>
    <w:rPr>
      <w:b/>
      <w:bCs/>
      <w:sz w:val="20"/>
      <w:szCs w:val="20"/>
    </w:rPr>
  </w:style>
  <w:style w:type="character" w:customStyle="1" w:styleId="KomentratmaRakstz">
    <w:name w:val="Komentāra tēma Rakstz."/>
    <w:basedOn w:val="KomentratekstsRakstz"/>
    <w:link w:val="Komentratma"/>
    <w:uiPriority w:val="99"/>
    <w:semiHidden/>
    <w:rsid w:val="00052B2B"/>
    <w:rPr>
      <w:rFonts w:eastAsiaTheme="minorEastAsia"/>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57378">
      <w:bodyDiv w:val="1"/>
      <w:marLeft w:val="0"/>
      <w:marRight w:val="0"/>
      <w:marTop w:val="0"/>
      <w:marBottom w:val="0"/>
      <w:divBdr>
        <w:top w:val="none" w:sz="0" w:space="0" w:color="auto"/>
        <w:left w:val="none" w:sz="0" w:space="0" w:color="auto"/>
        <w:bottom w:val="none" w:sz="0" w:space="0" w:color="auto"/>
        <w:right w:val="none" w:sz="0" w:space="0" w:color="auto"/>
      </w:divBdr>
    </w:div>
    <w:div w:id="274335834">
      <w:bodyDiv w:val="1"/>
      <w:marLeft w:val="0"/>
      <w:marRight w:val="0"/>
      <w:marTop w:val="0"/>
      <w:marBottom w:val="0"/>
      <w:divBdr>
        <w:top w:val="none" w:sz="0" w:space="0" w:color="auto"/>
        <w:left w:val="none" w:sz="0" w:space="0" w:color="auto"/>
        <w:bottom w:val="none" w:sz="0" w:space="0" w:color="auto"/>
        <w:right w:val="none" w:sz="0" w:space="0" w:color="auto"/>
      </w:divBdr>
    </w:div>
    <w:div w:id="301691384">
      <w:bodyDiv w:val="1"/>
      <w:marLeft w:val="0"/>
      <w:marRight w:val="0"/>
      <w:marTop w:val="0"/>
      <w:marBottom w:val="0"/>
      <w:divBdr>
        <w:top w:val="none" w:sz="0" w:space="0" w:color="auto"/>
        <w:left w:val="none" w:sz="0" w:space="0" w:color="auto"/>
        <w:bottom w:val="none" w:sz="0" w:space="0" w:color="auto"/>
        <w:right w:val="none" w:sz="0" w:space="0" w:color="auto"/>
      </w:divBdr>
    </w:div>
    <w:div w:id="307588474">
      <w:bodyDiv w:val="1"/>
      <w:marLeft w:val="0"/>
      <w:marRight w:val="0"/>
      <w:marTop w:val="0"/>
      <w:marBottom w:val="0"/>
      <w:divBdr>
        <w:top w:val="none" w:sz="0" w:space="0" w:color="auto"/>
        <w:left w:val="none" w:sz="0" w:space="0" w:color="auto"/>
        <w:bottom w:val="none" w:sz="0" w:space="0" w:color="auto"/>
        <w:right w:val="none" w:sz="0" w:space="0" w:color="auto"/>
      </w:divBdr>
    </w:div>
    <w:div w:id="504200421">
      <w:bodyDiv w:val="1"/>
      <w:marLeft w:val="0"/>
      <w:marRight w:val="0"/>
      <w:marTop w:val="0"/>
      <w:marBottom w:val="0"/>
      <w:divBdr>
        <w:top w:val="none" w:sz="0" w:space="0" w:color="auto"/>
        <w:left w:val="none" w:sz="0" w:space="0" w:color="auto"/>
        <w:bottom w:val="none" w:sz="0" w:space="0" w:color="auto"/>
        <w:right w:val="none" w:sz="0" w:space="0" w:color="auto"/>
      </w:divBdr>
    </w:div>
    <w:div w:id="520053463">
      <w:bodyDiv w:val="1"/>
      <w:marLeft w:val="0"/>
      <w:marRight w:val="0"/>
      <w:marTop w:val="0"/>
      <w:marBottom w:val="0"/>
      <w:divBdr>
        <w:top w:val="none" w:sz="0" w:space="0" w:color="auto"/>
        <w:left w:val="none" w:sz="0" w:space="0" w:color="auto"/>
        <w:bottom w:val="none" w:sz="0" w:space="0" w:color="auto"/>
        <w:right w:val="none" w:sz="0" w:space="0" w:color="auto"/>
      </w:divBdr>
    </w:div>
    <w:div w:id="523176131">
      <w:bodyDiv w:val="1"/>
      <w:marLeft w:val="0"/>
      <w:marRight w:val="0"/>
      <w:marTop w:val="0"/>
      <w:marBottom w:val="0"/>
      <w:divBdr>
        <w:top w:val="none" w:sz="0" w:space="0" w:color="auto"/>
        <w:left w:val="none" w:sz="0" w:space="0" w:color="auto"/>
        <w:bottom w:val="none" w:sz="0" w:space="0" w:color="auto"/>
        <w:right w:val="none" w:sz="0" w:space="0" w:color="auto"/>
      </w:divBdr>
    </w:div>
    <w:div w:id="705524372">
      <w:bodyDiv w:val="1"/>
      <w:marLeft w:val="0"/>
      <w:marRight w:val="0"/>
      <w:marTop w:val="0"/>
      <w:marBottom w:val="0"/>
      <w:divBdr>
        <w:top w:val="none" w:sz="0" w:space="0" w:color="auto"/>
        <w:left w:val="none" w:sz="0" w:space="0" w:color="auto"/>
        <w:bottom w:val="none" w:sz="0" w:space="0" w:color="auto"/>
        <w:right w:val="none" w:sz="0" w:space="0" w:color="auto"/>
      </w:divBdr>
    </w:div>
    <w:div w:id="769276212">
      <w:bodyDiv w:val="1"/>
      <w:marLeft w:val="0"/>
      <w:marRight w:val="0"/>
      <w:marTop w:val="0"/>
      <w:marBottom w:val="0"/>
      <w:divBdr>
        <w:top w:val="none" w:sz="0" w:space="0" w:color="auto"/>
        <w:left w:val="none" w:sz="0" w:space="0" w:color="auto"/>
        <w:bottom w:val="none" w:sz="0" w:space="0" w:color="auto"/>
        <w:right w:val="none" w:sz="0" w:space="0" w:color="auto"/>
      </w:divBdr>
    </w:div>
    <w:div w:id="1139346436">
      <w:bodyDiv w:val="1"/>
      <w:marLeft w:val="0"/>
      <w:marRight w:val="0"/>
      <w:marTop w:val="0"/>
      <w:marBottom w:val="0"/>
      <w:divBdr>
        <w:top w:val="none" w:sz="0" w:space="0" w:color="auto"/>
        <w:left w:val="none" w:sz="0" w:space="0" w:color="auto"/>
        <w:bottom w:val="none" w:sz="0" w:space="0" w:color="auto"/>
        <w:right w:val="none" w:sz="0" w:space="0" w:color="auto"/>
      </w:divBdr>
    </w:div>
    <w:div w:id="1207110614">
      <w:bodyDiv w:val="1"/>
      <w:marLeft w:val="0"/>
      <w:marRight w:val="0"/>
      <w:marTop w:val="0"/>
      <w:marBottom w:val="0"/>
      <w:divBdr>
        <w:top w:val="none" w:sz="0" w:space="0" w:color="auto"/>
        <w:left w:val="none" w:sz="0" w:space="0" w:color="auto"/>
        <w:bottom w:val="none" w:sz="0" w:space="0" w:color="auto"/>
        <w:right w:val="none" w:sz="0" w:space="0" w:color="auto"/>
      </w:divBdr>
    </w:div>
    <w:div w:id="1529565494">
      <w:bodyDiv w:val="1"/>
      <w:marLeft w:val="0"/>
      <w:marRight w:val="0"/>
      <w:marTop w:val="0"/>
      <w:marBottom w:val="0"/>
      <w:divBdr>
        <w:top w:val="none" w:sz="0" w:space="0" w:color="auto"/>
        <w:left w:val="none" w:sz="0" w:space="0" w:color="auto"/>
        <w:bottom w:val="none" w:sz="0" w:space="0" w:color="auto"/>
        <w:right w:val="none" w:sz="0" w:space="0" w:color="auto"/>
      </w:divBdr>
    </w:div>
    <w:div w:id="1684551328">
      <w:bodyDiv w:val="1"/>
      <w:marLeft w:val="0"/>
      <w:marRight w:val="0"/>
      <w:marTop w:val="0"/>
      <w:marBottom w:val="0"/>
      <w:divBdr>
        <w:top w:val="none" w:sz="0" w:space="0" w:color="auto"/>
        <w:left w:val="none" w:sz="0" w:space="0" w:color="auto"/>
        <w:bottom w:val="none" w:sz="0" w:space="0" w:color="auto"/>
        <w:right w:val="none" w:sz="0" w:space="0" w:color="auto"/>
      </w:divBdr>
    </w:div>
    <w:div w:id="1879200116">
      <w:bodyDiv w:val="1"/>
      <w:marLeft w:val="0"/>
      <w:marRight w:val="0"/>
      <w:marTop w:val="0"/>
      <w:marBottom w:val="0"/>
      <w:divBdr>
        <w:top w:val="none" w:sz="0" w:space="0" w:color="auto"/>
        <w:left w:val="none" w:sz="0" w:space="0" w:color="auto"/>
        <w:bottom w:val="none" w:sz="0" w:space="0" w:color="auto"/>
        <w:right w:val="none" w:sz="0" w:space="0" w:color="auto"/>
      </w:divBdr>
    </w:div>
    <w:div w:id="197513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ejurasslimnica.lv/lv/darba-piedavajumi" TargetMode="Externa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FS1-LPS\Gramatvediba$\Bud&#382;eta%20atskaites%20VESEL&#298;BAS%20ministrija\Bud&#382;ets%20ministrijai%202025.gadam\Piejura_2024_budzeta_izpilde_12menesi%20(version%202)JB.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S1-LPS\Gramatvediba$\Bud&#382;eta%20atskaites%20VESEL&#298;BAS%20ministrija\Bud&#382;ets%20ministrijai%202025.gadam\Piejura_2024_budzeta_izpilde_12menesi%20(version%202)JB.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ofPieChart>
        <c:ofPieType val="bar"/>
        <c:varyColors val="1"/>
        <c:ser>
          <c:idx val="0"/>
          <c:order val="0"/>
          <c:tx>
            <c:strRef>
              <c:f>Analīze!$D$12:$D$13</c:f>
              <c:strCache>
                <c:ptCount val="2"/>
                <c:pt idx="0">
                  <c:v>Izpilde 2024. gada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E2E-4283-8F64-2FD5E5383F2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E2E-4283-8F64-2FD5E5383F2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E2E-4283-8F64-2FD5E5383F2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E2E-4283-8F64-2FD5E5383F2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E2E-4283-8F64-2FD5E5383F20}"/>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FE2E-4283-8F64-2FD5E5383F20}"/>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FE2E-4283-8F64-2FD5E5383F20}"/>
              </c:ext>
            </c:extLst>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sz="1100" b="0" i="0" u="none" strike="noStrike" baseline="0">
                    <a:solidFill>
                      <a:schemeClr val="bg1"/>
                    </a:solidFill>
                    <a:latin typeface="Calibri Light" panose="020F0302020204030204" pitchFamily="34" charset="0"/>
                    <a:ea typeface="Calibri Light" panose="020F0302020204030204" pitchFamily="34" charset="0"/>
                    <a:cs typeface="Calibri Light" panose="020F0302020204030204" pitchFamily="34" charset="0"/>
                  </a:defRPr>
                </a:pPr>
                <a:endParaRPr lang="lv-LV"/>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Analīze!$A$14:$A$19</c:f>
              <c:strCache>
                <c:ptCount val="6"/>
                <c:pt idx="0">
                  <c:v>Valsts stacionārie pakalpojumi</c:v>
                </c:pt>
                <c:pt idx="1">
                  <c:v>Valsts ambulatorie pakalpojumi</c:v>
                </c:pt>
                <c:pt idx="2">
                  <c:v>Citi ieņēmumi no valsts budžeta</c:v>
                </c:pt>
                <c:pt idx="3">
                  <c:v>Maksas medicīniskie pakalpojumi</c:v>
                </c:pt>
                <c:pt idx="4">
                  <c:v>Citi saimnieciskās darbības ieņēmumi</c:v>
                </c:pt>
                <c:pt idx="5">
                  <c:v>Citi ieņēmumi</c:v>
                </c:pt>
              </c:strCache>
            </c:strRef>
          </c:cat>
          <c:val>
            <c:numRef>
              <c:f>Analīze!$D$14:$D$19</c:f>
              <c:numCache>
                <c:formatCode>#,##0</c:formatCode>
                <c:ptCount val="6"/>
                <c:pt idx="0">
                  <c:v>1163506</c:v>
                </c:pt>
                <c:pt idx="1">
                  <c:v>252285</c:v>
                </c:pt>
                <c:pt idx="2">
                  <c:v>13058</c:v>
                </c:pt>
                <c:pt idx="3">
                  <c:v>8042</c:v>
                </c:pt>
                <c:pt idx="4">
                  <c:v>1994</c:v>
                </c:pt>
                <c:pt idx="5">
                  <c:v>52436</c:v>
                </c:pt>
              </c:numCache>
            </c:numRef>
          </c:val>
          <c:extLst>
            <c:ext xmlns:c16="http://schemas.microsoft.com/office/drawing/2014/chart" uri="{C3380CC4-5D6E-409C-BE32-E72D297353CC}">
              <c16:uniqueId val="{00000000-E63E-4F1D-98A2-DD3A4D64BDCB}"/>
            </c:ext>
          </c:extLst>
        </c:ser>
        <c:dLbls>
          <c:dLblPos val="bestFit"/>
          <c:showLegendKey val="0"/>
          <c:showVal val="1"/>
          <c:showCatName val="0"/>
          <c:showSerName val="0"/>
          <c:showPercent val="0"/>
          <c:showBubbleSize val="0"/>
          <c:showLeaderLines val="1"/>
        </c:dLbls>
        <c:gapWidth val="100"/>
        <c:splitType val="pos"/>
        <c:splitPos val="4"/>
        <c:secondPieSize val="75"/>
        <c:serLines>
          <c:spPr>
            <a:ln w="9525" cap="flat">
              <a:solidFill>
                <a:srgbClr val="D9D9D9"/>
              </a:solidFill>
              <a:round/>
            </a:ln>
            <a:effectLst/>
          </c:spPr>
        </c:serLines>
      </c:ofPieChart>
      <c:spPr>
        <a:noFill/>
        <a:ln>
          <a:noFill/>
        </a:ln>
        <a:effectLst/>
      </c:spPr>
    </c:plotArea>
    <c:legend>
      <c:legendPos val="r"/>
      <c:layout>
        <c:manualLayout>
          <c:xMode val="edge"/>
          <c:yMode val="edge"/>
          <c:x val="0.66621790283207605"/>
          <c:y val="4.9993972975600272E-2"/>
          <c:w val="0.31513407851990527"/>
          <c:h val="0.90001166520851561"/>
        </c:manualLayout>
      </c:layout>
      <c:overlay val="0"/>
      <c:spPr>
        <a:noFill/>
        <a:ln>
          <a:noFill/>
        </a:ln>
        <a:effectLst/>
      </c:spPr>
      <c:txPr>
        <a:bodyPr rot="0" spcFirstLastPara="1" vertOverflow="ellipsis" vert="horz" wrap="square" anchor="ctr" anchorCtr="1"/>
        <a:lstStyle/>
        <a:p>
          <a:pPr>
            <a:defRPr sz="1100" b="0" i="0" u="none" strike="noStrike" baseline="0">
              <a:solidFill>
                <a:schemeClr val="tx1">
                  <a:lumMod val="65000"/>
                  <a:lumOff val="35000"/>
                </a:schemeClr>
              </a:solidFill>
              <a:latin typeface="Calibri Light" panose="020F0302020204030204" pitchFamily="34" charset="0"/>
              <a:ea typeface="Calibri Light" panose="020F0302020204030204" pitchFamily="34" charset="0"/>
              <a:cs typeface="Calibri Light" panose="020F0302020204030204" pitchFamily="34"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Calibri Light" panose="020F0302020204030204" pitchFamily="34" charset="0"/>
          <a:ea typeface="Calibri Light" panose="020F0302020204030204" pitchFamily="34" charset="0"/>
          <a:cs typeface="Calibri Light" panose="020F0302020204030204" pitchFamily="34" charset="0"/>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ofPieChart>
        <c:ofPieType val="bar"/>
        <c:varyColors val="1"/>
        <c:ser>
          <c:idx val="0"/>
          <c:order val="0"/>
          <c:tx>
            <c:strRef>
              <c:f>Analīze!$D$23</c:f>
              <c:strCache>
                <c:ptCount val="1"/>
                <c:pt idx="0">
                  <c:v>Izpilde 2024. gada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249-4CF0-87D0-67B2EE44001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249-4CF0-87D0-67B2EE44001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249-4CF0-87D0-67B2EE44001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249-4CF0-87D0-67B2EE44001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249-4CF0-87D0-67B2EE44001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F249-4CF0-87D0-67B2EE440015}"/>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baseline="0">
                    <a:solidFill>
                      <a:schemeClr val="lt1"/>
                    </a:solidFill>
                    <a:latin typeface="Calibri Light" panose="020F0302020204030204" pitchFamily="34" charset="0"/>
                    <a:ea typeface="Calibri Light" panose="020F0302020204030204" pitchFamily="34" charset="0"/>
                    <a:cs typeface="Calibri Light" panose="020F0302020204030204" pitchFamily="34" charset="0"/>
                  </a:defRPr>
                </a:pPr>
                <a:endParaRPr lang="lv-LV"/>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Analīze!$A$25:$A$29</c:f>
              <c:strCache>
                <c:ptCount val="5"/>
                <c:pt idx="0">
                  <c:v>Izdevumi atalgojumam par darbu</c:v>
                </c:pt>
                <c:pt idx="1">
                  <c:v>Darba devēja VSAOI, pabalsti un kompensācijas</c:v>
                </c:pt>
                <c:pt idx="2">
                  <c:v>Izdevumi par pakalpojumiem</c:v>
                </c:pt>
                <c:pt idx="3">
                  <c:v>Izdevumi par precēm</c:v>
                </c:pt>
                <c:pt idx="4">
                  <c:v>Pārējie saimnieciskās darbības izdevumi</c:v>
                </c:pt>
              </c:strCache>
            </c:strRef>
          </c:cat>
          <c:val>
            <c:numRef>
              <c:f>Analīze!$D$25:$D$29</c:f>
              <c:numCache>
                <c:formatCode>#,##0</c:formatCode>
                <c:ptCount val="5"/>
                <c:pt idx="0">
                  <c:v>954433</c:v>
                </c:pt>
                <c:pt idx="1">
                  <c:v>258985</c:v>
                </c:pt>
                <c:pt idx="2">
                  <c:v>135867</c:v>
                </c:pt>
                <c:pt idx="3">
                  <c:v>126508</c:v>
                </c:pt>
                <c:pt idx="4">
                  <c:v>75052</c:v>
                </c:pt>
              </c:numCache>
            </c:numRef>
          </c:val>
          <c:extLst>
            <c:ext xmlns:c16="http://schemas.microsoft.com/office/drawing/2014/chart" uri="{C3380CC4-5D6E-409C-BE32-E72D297353CC}">
              <c16:uniqueId val="{0000000E-F249-4CF0-87D0-67B2EE440015}"/>
            </c:ext>
          </c:extLst>
        </c:ser>
        <c:dLbls>
          <c:dLblPos val="bestFit"/>
          <c:showLegendKey val="0"/>
          <c:showVal val="1"/>
          <c:showCatName val="0"/>
          <c:showSerName val="0"/>
          <c:showPercent val="0"/>
          <c:showBubbleSize val="0"/>
          <c:showLeaderLines val="1"/>
        </c:dLbls>
        <c:gapWidth val="100"/>
        <c:splitType val="pos"/>
        <c:splitPos val="3"/>
        <c:secondPieSize val="75"/>
        <c:serLines>
          <c:spPr>
            <a:ln w="9525" cap="flat">
              <a:solidFill>
                <a:srgbClr val="D9D9D9"/>
              </a:solidFill>
              <a:round/>
            </a:ln>
            <a:effectLst/>
          </c:spPr>
        </c:serLines>
      </c:ofPieChart>
      <c:spPr>
        <a:noFill/>
        <a:ln>
          <a:noFill/>
        </a:ln>
        <a:effectLst/>
      </c:spPr>
    </c:plotArea>
    <c:legend>
      <c:legendPos val="r"/>
      <c:layout>
        <c:manualLayout>
          <c:xMode val="edge"/>
          <c:yMode val="edge"/>
          <c:x val="0.64806584670841805"/>
          <c:y val="0.10638479972612119"/>
          <c:w val="0.3391749805012379"/>
          <c:h val="0.83553957929171896"/>
        </c:manualLayout>
      </c:layout>
      <c:overlay val="0"/>
      <c:spPr>
        <a:noFill/>
        <a:ln>
          <a:noFill/>
        </a:ln>
        <a:effectLst/>
      </c:spPr>
      <c:txPr>
        <a:bodyPr rot="0" spcFirstLastPara="1" vertOverflow="ellipsis" vert="horz" wrap="square" anchor="ctr" anchorCtr="1"/>
        <a:lstStyle/>
        <a:p>
          <a:pPr rtl="0">
            <a:defRPr sz="1100" b="0" i="0" u="none" strike="noStrike" baseline="0">
              <a:solidFill>
                <a:schemeClr val="tx1">
                  <a:lumMod val="65000"/>
                  <a:lumOff val="35000"/>
                </a:schemeClr>
              </a:solidFill>
              <a:latin typeface="Calibri Light" panose="020F0302020204030204" pitchFamily="34" charset="0"/>
              <a:ea typeface="Calibri Light" panose="020F0302020204030204" pitchFamily="34" charset="0"/>
              <a:cs typeface="Calibri Light" panose="020F0302020204030204" pitchFamily="34" charset="0"/>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Calibri Light" panose="020F0302020204030204" pitchFamily="34" charset="0"/>
          <a:ea typeface="Calibri Light" panose="020F0302020204030204" pitchFamily="34" charset="0"/>
          <a:cs typeface="Calibri Light" panose="020F0302020204030204" pitchFamily="34" charset="0"/>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81">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lt1"/>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381">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lt1"/>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7E014-7F06-4130-B435-4F78F5612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19088</Words>
  <Characters>10881</Characters>
  <Application>Microsoft Office Word</Application>
  <DocSecurity>0</DocSecurity>
  <Lines>90</Lines>
  <Paragraphs>59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Jevgenijs Blaževičs</dc:creator>
  <cp:keywords/>
  <dc:description/>
  <cp:lastModifiedBy>Indra Pirktiņa</cp:lastModifiedBy>
  <cp:revision>3</cp:revision>
  <cp:lastPrinted>2025-05-22T07:39:00Z</cp:lastPrinted>
  <dcterms:created xsi:type="dcterms:W3CDTF">2025-05-21T12:46:00Z</dcterms:created>
  <dcterms:modified xsi:type="dcterms:W3CDTF">2025-05-22T07:57:00Z</dcterms:modified>
</cp:coreProperties>
</file>